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8DCF" w14:textId="2C09FEA4" w:rsidR="001A738F" w:rsidRDefault="00EA39E5" w:rsidP="001A738F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</w:rPr>
      </w:pPr>
      <w:r>
        <w:rPr>
          <w:rFonts w:ascii="Arial" w:hAnsi="Arial" w:cs="Arial"/>
          <w:b/>
          <w:i/>
          <w:iCs/>
          <w:color w:val="009FEA"/>
          <w:sz w:val="32"/>
          <w:szCs w:val="32"/>
        </w:rPr>
        <w:t>C</w:t>
      </w:r>
      <w:r w:rsidR="005B33EC" w:rsidRPr="009A4463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aixaBank </w:t>
      </w:r>
      <w:r w:rsidR="001C3A05">
        <w:rPr>
          <w:rFonts w:ascii="Arial" w:hAnsi="Arial" w:cs="Arial"/>
          <w:b/>
          <w:i/>
          <w:iCs/>
          <w:color w:val="009FEA"/>
          <w:sz w:val="32"/>
          <w:szCs w:val="32"/>
        </w:rPr>
        <w:t>reúne en</w:t>
      </w:r>
      <w:r w:rsidR="00280225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un libro </w:t>
      </w:r>
      <w:r w:rsidR="001C3A05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algunos de </w:t>
      </w:r>
      <w:r w:rsidR="00280225">
        <w:rPr>
          <w:rFonts w:ascii="Arial" w:hAnsi="Arial" w:cs="Arial"/>
          <w:b/>
          <w:i/>
          <w:iCs/>
          <w:color w:val="009FEA"/>
          <w:sz w:val="32"/>
          <w:szCs w:val="32"/>
        </w:rPr>
        <w:t>los hoteles</w:t>
      </w:r>
      <w:r w:rsidR="00343272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</w:t>
      </w:r>
      <w:r w:rsidR="0060264E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más </w:t>
      </w:r>
      <w:r w:rsidR="00343272">
        <w:rPr>
          <w:rFonts w:ascii="Arial" w:hAnsi="Arial" w:cs="Arial"/>
          <w:b/>
          <w:i/>
          <w:iCs/>
          <w:color w:val="009FEA"/>
          <w:sz w:val="32"/>
          <w:szCs w:val="32"/>
        </w:rPr>
        <w:t>singulares</w:t>
      </w:r>
      <w:r w:rsidR="00280225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de España </w:t>
      </w:r>
    </w:p>
    <w:p w14:paraId="77B895CA" w14:textId="77777777" w:rsidR="001A738F" w:rsidRPr="001A738F" w:rsidRDefault="001A738F" w:rsidP="001A738F">
      <w:pPr>
        <w:ind w:left="-426"/>
        <w:jc w:val="both"/>
        <w:rPr>
          <w:rFonts w:ascii="Arial" w:hAnsi="Arial" w:cs="Arial"/>
          <w:b/>
          <w:i/>
          <w:iCs/>
          <w:color w:val="009FEA"/>
          <w:sz w:val="24"/>
          <w:szCs w:val="24"/>
        </w:rPr>
      </w:pPr>
    </w:p>
    <w:p w14:paraId="1826A54B" w14:textId="08B57BB1" w:rsidR="00D1446A" w:rsidRPr="00CB539D" w:rsidRDefault="000F44BC" w:rsidP="00D1446A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  <w:color w:val="auto"/>
          <w:lang w:val="es-ES"/>
        </w:rPr>
        <w:t>La publicación</w:t>
      </w:r>
      <w:r w:rsidR="00D1446A">
        <w:rPr>
          <w:rFonts w:ascii="Arial" w:hAnsi="Arial" w:cs="Arial"/>
          <w:b/>
          <w:i/>
          <w:iCs/>
          <w:color w:val="auto"/>
          <w:lang w:val="es-ES"/>
        </w:rPr>
        <w:t xml:space="preserve"> se concibe como un homenaje a la primera industria nacional, el turismo, que ofrece </w:t>
      </w:r>
      <w:r w:rsidR="00D1446A" w:rsidRPr="00CB539D">
        <w:rPr>
          <w:rFonts w:ascii="Arial" w:hAnsi="Arial" w:cs="Arial"/>
          <w:b/>
          <w:i/>
          <w:iCs/>
          <w:color w:val="auto"/>
          <w:lang w:val="es-ES"/>
        </w:rPr>
        <w:t>alojamientos diferenciales y de gran calidad en toda su geografía</w:t>
      </w:r>
    </w:p>
    <w:p w14:paraId="0940E3CA" w14:textId="77777777" w:rsidR="00D1446A" w:rsidRPr="0026128B" w:rsidRDefault="00D1446A" w:rsidP="00D1446A">
      <w:pPr>
        <w:pStyle w:val="Prrafobsico"/>
        <w:suppressAutoHyphens/>
        <w:spacing w:line="276" w:lineRule="auto"/>
        <w:jc w:val="both"/>
        <w:textAlignment w:val="auto"/>
        <w:rPr>
          <w:rFonts w:ascii="Arial" w:hAnsi="Arial" w:cs="Arial"/>
          <w:b/>
          <w:i/>
          <w:iCs/>
          <w:color w:val="auto"/>
          <w:lang w:val="es-ES"/>
        </w:rPr>
      </w:pPr>
    </w:p>
    <w:p w14:paraId="0746C8DD" w14:textId="21DF64DE" w:rsidR="008E235B" w:rsidRPr="00FC1B59" w:rsidRDefault="00BD50AE" w:rsidP="003659C2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color w:val="auto"/>
          <w:lang w:val="es-ES"/>
        </w:rPr>
      </w:pPr>
      <w:r w:rsidRPr="00FC1B59">
        <w:rPr>
          <w:rFonts w:ascii="Arial" w:hAnsi="Arial" w:cs="Arial"/>
          <w:b/>
          <w:i/>
          <w:iCs/>
          <w:color w:val="auto"/>
          <w:lang w:val="es-ES"/>
        </w:rPr>
        <w:t xml:space="preserve">El </w:t>
      </w:r>
      <w:r w:rsidR="00FC1B59">
        <w:rPr>
          <w:rFonts w:ascii="Arial" w:hAnsi="Arial" w:cs="Arial"/>
          <w:b/>
          <w:i/>
          <w:iCs/>
          <w:color w:val="auto"/>
          <w:lang w:val="es-ES"/>
        </w:rPr>
        <w:t>H</w:t>
      </w:r>
      <w:r w:rsidRPr="00FC1B59">
        <w:rPr>
          <w:rFonts w:ascii="Arial" w:hAnsi="Arial" w:cs="Arial"/>
          <w:b/>
          <w:i/>
          <w:iCs/>
          <w:color w:val="auto"/>
          <w:lang w:val="es-ES"/>
        </w:rPr>
        <w:t>otel</w:t>
      </w:r>
      <w:r w:rsidR="008E235B" w:rsidRPr="00FC1B59">
        <w:rPr>
          <w:rFonts w:ascii="Arial" w:hAnsi="Arial" w:cs="Arial"/>
          <w:b/>
          <w:i/>
          <w:iCs/>
          <w:color w:val="auto"/>
          <w:lang w:val="es-ES"/>
        </w:rPr>
        <w:t xml:space="preserve"> </w:t>
      </w:r>
      <w:r w:rsidR="00FC1B59" w:rsidRPr="00FC1B59">
        <w:rPr>
          <w:rFonts w:ascii="Arial" w:hAnsi="Arial" w:cs="Arial"/>
          <w:b/>
          <w:i/>
          <w:iCs/>
          <w:color w:val="auto"/>
          <w:lang w:val="es-ES"/>
        </w:rPr>
        <w:t>Canfranc estación</w:t>
      </w:r>
      <w:r w:rsidR="00FC1B59">
        <w:rPr>
          <w:rFonts w:ascii="Arial" w:hAnsi="Arial" w:cs="Arial"/>
          <w:b/>
          <w:i/>
          <w:iCs/>
          <w:color w:val="auto"/>
          <w:lang w:val="es-ES"/>
        </w:rPr>
        <w:t xml:space="preserve">, en la provincia </w:t>
      </w:r>
      <w:r w:rsidRPr="00FC1B59">
        <w:rPr>
          <w:rFonts w:ascii="Arial" w:hAnsi="Arial" w:cs="Arial"/>
          <w:b/>
          <w:i/>
          <w:iCs/>
          <w:color w:val="auto"/>
          <w:lang w:val="es-ES"/>
        </w:rPr>
        <w:t>de</w:t>
      </w:r>
      <w:r w:rsidR="00FC1B59">
        <w:rPr>
          <w:rFonts w:ascii="Arial" w:hAnsi="Arial" w:cs="Arial"/>
          <w:b/>
          <w:i/>
          <w:iCs/>
          <w:color w:val="auto"/>
          <w:lang w:val="es-ES"/>
        </w:rPr>
        <w:t xml:space="preserve"> Huesca,</w:t>
      </w:r>
      <w:r w:rsidRPr="00FC1B59">
        <w:rPr>
          <w:rFonts w:ascii="Arial" w:hAnsi="Arial" w:cs="Arial"/>
          <w:b/>
          <w:i/>
          <w:iCs/>
          <w:color w:val="auto"/>
          <w:lang w:val="es-ES"/>
        </w:rPr>
        <w:t xml:space="preserve"> </w:t>
      </w:r>
      <w:r w:rsidR="008E235B" w:rsidRPr="00FC1B59">
        <w:rPr>
          <w:rFonts w:ascii="Arial" w:hAnsi="Arial" w:cs="Arial"/>
          <w:b/>
          <w:i/>
          <w:iCs/>
          <w:color w:val="auto"/>
          <w:lang w:val="es-ES"/>
        </w:rPr>
        <w:t xml:space="preserve">entre los </w:t>
      </w:r>
      <w:r w:rsidR="00BA3E83" w:rsidRPr="00FC1B59">
        <w:rPr>
          <w:rFonts w:ascii="Arial" w:hAnsi="Arial" w:cs="Arial"/>
          <w:b/>
          <w:i/>
          <w:iCs/>
          <w:color w:val="auto"/>
          <w:lang w:val="es-ES"/>
        </w:rPr>
        <w:t xml:space="preserve">60 </w:t>
      </w:r>
      <w:r w:rsidR="008E235B" w:rsidRPr="00FC1B59">
        <w:rPr>
          <w:rFonts w:ascii="Arial" w:hAnsi="Arial" w:cs="Arial"/>
          <w:b/>
          <w:i/>
          <w:iCs/>
          <w:color w:val="auto"/>
          <w:lang w:val="es-ES"/>
        </w:rPr>
        <w:t xml:space="preserve">establecimientos hoteleros </w:t>
      </w:r>
      <w:r w:rsidR="00D1446A" w:rsidRPr="00FC1B59">
        <w:rPr>
          <w:rFonts w:ascii="Arial" w:hAnsi="Arial" w:cs="Arial"/>
          <w:b/>
          <w:i/>
          <w:iCs/>
          <w:color w:val="auto"/>
          <w:lang w:val="es-ES"/>
        </w:rPr>
        <w:t>seleccionados</w:t>
      </w:r>
    </w:p>
    <w:p w14:paraId="1DAD1C10" w14:textId="77777777" w:rsidR="00D1446A" w:rsidRDefault="00D1446A" w:rsidP="00D1446A">
      <w:pPr>
        <w:pStyle w:val="Prrafodelista"/>
        <w:rPr>
          <w:rFonts w:ascii="Arial" w:hAnsi="Arial" w:cs="Arial"/>
          <w:b/>
          <w:i/>
          <w:iCs/>
        </w:rPr>
      </w:pPr>
    </w:p>
    <w:p w14:paraId="0EE9353B" w14:textId="703A4A71" w:rsidR="00280225" w:rsidRDefault="001A738F" w:rsidP="003659C2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</w:rPr>
      </w:pPr>
      <w:r w:rsidRPr="001A738F">
        <w:rPr>
          <w:rFonts w:ascii="Arial" w:hAnsi="Arial" w:cs="Arial"/>
          <w:b/>
          <w:i/>
          <w:iCs/>
        </w:rPr>
        <w:t xml:space="preserve">El consejero delegado de CaixaBank, Gonzalo Gortázar, ha presentado el trabajo en el </w:t>
      </w:r>
      <w:r>
        <w:rPr>
          <w:rFonts w:ascii="Arial" w:hAnsi="Arial" w:cs="Arial"/>
          <w:b/>
          <w:i/>
          <w:iCs/>
        </w:rPr>
        <w:t xml:space="preserve">stand de CaixaBank en </w:t>
      </w:r>
      <w:r w:rsidRPr="001A738F">
        <w:rPr>
          <w:rFonts w:ascii="Arial" w:hAnsi="Arial" w:cs="Arial"/>
          <w:b/>
          <w:i/>
          <w:iCs/>
        </w:rPr>
        <w:t>FITUR</w:t>
      </w:r>
    </w:p>
    <w:p w14:paraId="18FF3064" w14:textId="77777777" w:rsidR="00CB539D" w:rsidRDefault="00CB539D" w:rsidP="00CB539D">
      <w:pPr>
        <w:pStyle w:val="Prrafobsico"/>
        <w:suppressAutoHyphens/>
        <w:spacing w:line="276" w:lineRule="auto"/>
        <w:jc w:val="both"/>
        <w:textAlignment w:val="auto"/>
        <w:rPr>
          <w:rFonts w:ascii="Arial" w:hAnsi="Arial" w:cs="Arial"/>
          <w:b/>
          <w:i/>
          <w:iCs/>
        </w:rPr>
      </w:pPr>
    </w:p>
    <w:p w14:paraId="0213548E" w14:textId="247ED34B" w:rsidR="00E65D2D" w:rsidRPr="009741C3" w:rsidRDefault="00280225" w:rsidP="009741C3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</w:rPr>
      </w:pPr>
      <w:r w:rsidRPr="00CB539D">
        <w:rPr>
          <w:rFonts w:ascii="Arial" w:hAnsi="Arial" w:cs="Arial"/>
          <w:b/>
          <w:i/>
          <w:iCs/>
          <w:color w:val="auto"/>
          <w:lang w:val="es-ES"/>
        </w:rPr>
        <w:t xml:space="preserve">Con la publicación de ‘Hoteles Singulares’, CaixaBank reafirma su compromiso con el sector del alojamiento turístico, que ha realizado en los últimos años un intenso esfuerzo en </w:t>
      </w:r>
      <w:r w:rsidR="00CB539D" w:rsidRPr="00CB539D">
        <w:rPr>
          <w:rFonts w:ascii="Arial" w:hAnsi="Arial" w:cs="Arial"/>
          <w:b/>
          <w:i/>
          <w:iCs/>
          <w:color w:val="auto"/>
          <w:lang w:val="es-ES"/>
        </w:rPr>
        <w:t xml:space="preserve">modernización, </w:t>
      </w:r>
      <w:r w:rsidRPr="00CB539D">
        <w:rPr>
          <w:rFonts w:ascii="Arial" w:hAnsi="Arial" w:cs="Arial"/>
          <w:b/>
          <w:i/>
          <w:iCs/>
          <w:color w:val="auto"/>
          <w:lang w:val="es-ES"/>
        </w:rPr>
        <w:t>innovación y sostenib</w:t>
      </w:r>
      <w:r w:rsidR="00260680">
        <w:rPr>
          <w:rFonts w:ascii="Arial" w:hAnsi="Arial" w:cs="Arial"/>
          <w:b/>
          <w:i/>
          <w:iCs/>
          <w:color w:val="auto"/>
          <w:lang w:val="es-ES"/>
        </w:rPr>
        <w:t>i</w:t>
      </w:r>
      <w:r w:rsidRPr="00CB539D">
        <w:rPr>
          <w:rFonts w:ascii="Arial" w:hAnsi="Arial" w:cs="Arial"/>
          <w:b/>
          <w:i/>
          <w:iCs/>
          <w:color w:val="auto"/>
          <w:lang w:val="es-ES"/>
        </w:rPr>
        <w:t>lidad</w:t>
      </w:r>
    </w:p>
    <w:p w14:paraId="591E7FA2" w14:textId="77777777" w:rsidR="00E65D2D" w:rsidRPr="008C7C3F" w:rsidRDefault="00E65D2D" w:rsidP="008C7C3F">
      <w:pPr>
        <w:pStyle w:val="Prrafobsico"/>
        <w:suppressAutoHyphens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</w:p>
    <w:p w14:paraId="54A26CFA" w14:textId="1D808FCF" w:rsidR="00F53C92" w:rsidRPr="008C7C3F" w:rsidRDefault="00C76E19" w:rsidP="008C7C3F">
      <w:pPr>
        <w:spacing w:line="276" w:lineRule="auto"/>
        <w:ind w:left="-426" w:right="-568"/>
        <w:jc w:val="both"/>
        <w:rPr>
          <w:rFonts w:ascii="Arial" w:eastAsiaTheme="minorEastAsia" w:hAnsi="Arial" w:cs="Arial"/>
          <w:b/>
          <w:bCs/>
          <w:color w:val="000000"/>
          <w:lang w:eastAsia="es-ES"/>
        </w:rPr>
      </w:pPr>
      <w:r>
        <w:rPr>
          <w:rFonts w:ascii="Arial" w:eastAsiaTheme="minorEastAsia" w:hAnsi="Arial" w:cs="Arial"/>
          <w:b/>
          <w:bCs/>
          <w:color w:val="000000"/>
          <w:lang w:eastAsia="es-ES"/>
        </w:rPr>
        <w:t>23 de e</w:t>
      </w:r>
      <w:r w:rsidR="008060F0" w:rsidRPr="008C7C3F">
        <w:rPr>
          <w:rFonts w:ascii="Arial" w:eastAsiaTheme="minorEastAsia" w:hAnsi="Arial" w:cs="Arial"/>
          <w:b/>
          <w:bCs/>
          <w:color w:val="000000"/>
          <w:lang w:eastAsia="es-ES"/>
        </w:rPr>
        <w:t>nero de 202</w:t>
      </w:r>
      <w:r w:rsidR="00E65D2D" w:rsidRPr="008C7C3F">
        <w:rPr>
          <w:rFonts w:ascii="Arial" w:eastAsiaTheme="minorEastAsia" w:hAnsi="Arial" w:cs="Arial"/>
          <w:b/>
          <w:bCs/>
          <w:color w:val="000000"/>
          <w:lang w:eastAsia="es-ES"/>
        </w:rPr>
        <w:t>5</w:t>
      </w:r>
    </w:p>
    <w:p w14:paraId="133407CA" w14:textId="03617853" w:rsidR="0026128B" w:rsidRDefault="00DC1A36" w:rsidP="0026128B">
      <w:pPr>
        <w:spacing w:line="276" w:lineRule="auto"/>
        <w:ind w:left="-426" w:right="-568"/>
        <w:jc w:val="both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hAnsi="Arial" w:cs="Arial"/>
        </w:rPr>
        <w:t xml:space="preserve">CaixaBank </w:t>
      </w:r>
      <w:proofErr w:type="spellStart"/>
      <w:r>
        <w:rPr>
          <w:rFonts w:ascii="Arial" w:hAnsi="Arial" w:cs="Arial"/>
          <w:i/>
        </w:rPr>
        <w:t>Hotels</w:t>
      </w:r>
      <w:proofErr w:type="spellEnd"/>
      <w:r>
        <w:rPr>
          <w:rFonts w:ascii="Arial" w:hAnsi="Arial" w:cs="Arial"/>
          <w:i/>
        </w:rPr>
        <w:t xml:space="preserve"> &amp; </w:t>
      </w:r>
      <w:proofErr w:type="spellStart"/>
      <w:r>
        <w:rPr>
          <w:rFonts w:ascii="Arial" w:hAnsi="Arial" w:cs="Arial"/>
          <w:i/>
        </w:rPr>
        <w:t>Tourism</w:t>
      </w:r>
      <w:proofErr w:type="spellEnd"/>
      <w:r>
        <w:rPr>
          <w:rFonts w:ascii="Arial" w:hAnsi="Arial" w:cs="Arial"/>
        </w:rPr>
        <w:t xml:space="preserve">, la línea de negocio con la que la entidad lidera el mercado </w:t>
      </w:r>
      <w:r w:rsidR="0026128B">
        <w:rPr>
          <w:rFonts w:ascii="Arial" w:hAnsi="Arial" w:cs="Arial"/>
        </w:rPr>
        <w:t>turístico</w:t>
      </w:r>
      <w:r>
        <w:rPr>
          <w:rFonts w:ascii="Arial" w:hAnsi="Arial" w:cs="Arial"/>
        </w:rPr>
        <w:t xml:space="preserve"> 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>h</w:t>
      </w:r>
      <w:r w:rsidR="00A90C00">
        <w:rPr>
          <w:rFonts w:ascii="Arial" w:eastAsiaTheme="minorEastAsia" w:hAnsi="Arial" w:cs="Arial"/>
          <w:color w:val="000000"/>
          <w:lang w:eastAsia="es-ES"/>
        </w:rPr>
        <w:t>a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 xml:space="preserve"> editado el libro </w:t>
      </w:r>
      <w:r w:rsidR="00280225" w:rsidRPr="009833F3">
        <w:rPr>
          <w:rFonts w:ascii="Arial" w:eastAsiaTheme="minorEastAsia" w:hAnsi="Arial" w:cs="Arial"/>
          <w:i/>
          <w:iCs/>
          <w:color w:val="000000"/>
          <w:lang w:eastAsia="es-ES"/>
        </w:rPr>
        <w:t>Hoteles Singulares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>, un recorrido</w:t>
      </w:r>
      <w:r w:rsidR="00E5635A">
        <w:rPr>
          <w:rFonts w:ascii="Arial" w:eastAsiaTheme="minorEastAsia" w:hAnsi="Arial" w:cs="Arial"/>
          <w:color w:val="000000"/>
          <w:lang w:eastAsia="es-ES"/>
        </w:rPr>
        <w:t xml:space="preserve"> visual y gráfico 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 xml:space="preserve">por algunos de los </w:t>
      </w:r>
      <w:r w:rsidR="008C7C3F" w:rsidRPr="008C7C3F">
        <w:rPr>
          <w:rFonts w:ascii="Arial" w:eastAsiaTheme="minorEastAsia" w:hAnsi="Arial" w:cs="Arial"/>
          <w:color w:val="000000"/>
          <w:lang w:eastAsia="es-ES"/>
        </w:rPr>
        <w:t>alojamientos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 xml:space="preserve"> más emblemáticos </w:t>
      </w:r>
      <w:r w:rsidR="00870DC3">
        <w:rPr>
          <w:rFonts w:ascii="Arial" w:eastAsiaTheme="minorEastAsia" w:hAnsi="Arial" w:cs="Arial"/>
          <w:color w:val="000000"/>
          <w:lang w:eastAsia="es-ES"/>
        </w:rPr>
        <w:t xml:space="preserve">y particulares 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>de la geografía española. E</w:t>
      </w:r>
      <w:r w:rsidR="008C7C3F" w:rsidRPr="008C7C3F">
        <w:rPr>
          <w:rFonts w:ascii="Arial" w:eastAsiaTheme="minorEastAsia" w:hAnsi="Arial" w:cs="Arial"/>
          <w:color w:val="000000"/>
          <w:lang w:eastAsia="es-ES"/>
        </w:rPr>
        <w:t>ste trabajo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 xml:space="preserve">, que </w:t>
      </w:r>
      <w:r w:rsidR="00A90C00">
        <w:rPr>
          <w:rFonts w:ascii="Arial" w:eastAsiaTheme="minorEastAsia" w:hAnsi="Arial" w:cs="Arial"/>
          <w:color w:val="000000"/>
          <w:lang w:eastAsia="es-ES"/>
        </w:rPr>
        <w:t>presenta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 xml:space="preserve"> un</w:t>
      </w:r>
      <w:r w:rsidR="00E5635A">
        <w:rPr>
          <w:rFonts w:ascii="Arial" w:eastAsiaTheme="minorEastAsia" w:hAnsi="Arial" w:cs="Arial"/>
          <w:color w:val="000000"/>
          <w:lang w:eastAsia="es-ES"/>
        </w:rPr>
        <w:t xml:space="preserve">a selección 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>de 6</w:t>
      </w:r>
      <w:r w:rsidR="00691819">
        <w:rPr>
          <w:rFonts w:ascii="Arial" w:eastAsiaTheme="minorEastAsia" w:hAnsi="Arial" w:cs="Arial"/>
          <w:color w:val="000000"/>
          <w:lang w:eastAsia="es-ES"/>
        </w:rPr>
        <w:t>0</w:t>
      </w:r>
      <w:r w:rsidR="00280225" w:rsidRPr="008C7C3F">
        <w:rPr>
          <w:rFonts w:ascii="Arial" w:eastAsiaTheme="minorEastAsia" w:hAnsi="Arial" w:cs="Arial"/>
          <w:color w:val="000000"/>
          <w:lang w:eastAsia="es-ES"/>
        </w:rPr>
        <w:t xml:space="preserve"> establecimientos, </w:t>
      </w:r>
      <w:r w:rsidR="008C7C3F" w:rsidRPr="008C7C3F">
        <w:rPr>
          <w:rFonts w:ascii="Arial" w:eastAsiaTheme="minorEastAsia" w:hAnsi="Arial" w:cs="Arial"/>
          <w:color w:val="000000"/>
          <w:lang w:eastAsia="es-ES"/>
        </w:rPr>
        <w:t xml:space="preserve">recoge </w:t>
      </w:r>
      <w:r w:rsidR="00455197">
        <w:rPr>
          <w:rFonts w:ascii="Arial" w:eastAsiaTheme="minorEastAsia" w:hAnsi="Arial" w:cs="Arial"/>
          <w:color w:val="000000"/>
          <w:lang w:eastAsia="es-ES"/>
        </w:rPr>
        <w:t xml:space="preserve">en una cuidada edición de </w:t>
      </w:r>
      <w:r w:rsidR="00E5635A">
        <w:rPr>
          <w:rFonts w:ascii="Arial" w:eastAsiaTheme="minorEastAsia" w:hAnsi="Arial" w:cs="Arial"/>
          <w:color w:val="000000"/>
          <w:lang w:eastAsia="es-ES"/>
        </w:rPr>
        <w:t xml:space="preserve">cerca de 150 páginas </w:t>
      </w:r>
      <w:r w:rsidR="00870DC3">
        <w:rPr>
          <w:rFonts w:ascii="Arial" w:eastAsiaTheme="minorEastAsia" w:hAnsi="Arial" w:cs="Arial"/>
          <w:color w:val="000000"/>
          <w:lang w:eastAsia="es-ES"/>
        </w:rPr>
        <w:t>el encanto</w:t>
      </w:r>
      <w:r w:rsidR="008C7C3F" w:rsidRPr="008C7C3F">
        <w:rPr>
          <w:rFonts w:ascii="Arial" w:eastAsiaTheme="minorEastAsia" w:hAnsi="Arial" w:cs="Arial"/>
          <w:color w:val="000000"/>
          <w:lang w:eastAsia="es-ES"/>
        </w:rPr>
        <w:t xml:space="preserve"> de estos hoteles y da cuenta de la </w:t>
      </w:r>
      <w:r w:rsidR="00870DC3">
        <w:rPr>
          <w:rFonts w:ascii="Arial" w:eastAsiaTheme="minorEastAsia" w:hAnsi="Arial" w:cs="Arial"/>
          <w:color w:val="000000"/>
          <w:lang w:eastAsia="es-ES"/>
        </w:rPr>
        <w:t>excepcionalidad</w:t>
      </w:r>
      <w:r w:rsidR="008C7C3F" w:rsidRPr="008C7C3F">
        <w:rPr>
          <w:rFonts w:ascii="Arial" w:eastAsiaTheme="minorEastAsia" w:hAnsi="Arial" w:cs="Arial"/>
          <w:color w:val="000000"/>
          <w:lang w:eastAsia="es-ES"/>
        </w:rPr>
        <w:t xml:space="preserve"> y </w:t>
      </w:r>
      <w:r w:rsidR="00455197">
        <w:rPr>
          <w:rFonts w:ascii="Arial" w:eastAsiaTheme="minorEastAsia" w:hAnsi="Arial" w:cs="Arial"/>
          <w:color w:val="000000"/>
          <w:lang w:eastAsia="es-ES"/>
        </w:rPr>
        <w:t>gran</w:t>
      </w:r>
      <w:r w:rsidR="008C7C3F" w:rsidRPr="008C7C3F">
        <w:rPr>
          <w:rFonts w:ascii="Arial" w:eastAsiaTheme="minorEastAsia" w:hAnsi="Arial" w:cs="Arial"/>
          <w:color w:val="000000"/>
          <w:lang w:eastAsia="es-ES"/>
        </w:rPr>
        <w:t xml:space="preserve"> calidad de los alojamientos turísticos españoles. </w:t>
      </w:r>
    </w:p>
    <w:p w14:paraId="67B5B1D8" w14:textId="1852FB1B" w:rsidR="0026128B" w:rsidRDefault="00BA3E83" w:rsidP="0026128B">
      <w:pPr>
        <w:spacing w:line="276" w:lineRule="auto"/>
        <w:ind w:left="-426" w:right="-568"/>
        <w:jc w:val="both"/>
        <w:rPr>
          <w:rFonts w:ascii="Arial" w:eastAsiaTheme="minorEastAsia" w:hAnsi="Arial" w:cs="Arial"/>
          <w:color w:val="000000"/>
          <w:lang w:eastAsia="es-ES"/>
        </w:rPr>
      </w:pPr>
      <w:r w:rsidRPr="00BA3E83">
        <w:rPr>
          <w:rFonts w:ascii="Arial" w:eastAsiaTheme="minorEastAsia" w:hAnsi="Arial" w:cs="Arial"/>
          <w:color w:val="000000"/>
          <w:lang w:eastAsia="es-ES"/>
        </w:rPr>
        <w:t xml:space="preserve">En </w:t>
      </w:r>
      <w:r w:rsidR="00FC1B59">
        <w:rPr>
          <w:rFonts w:ascii="Arial" w:eastAsiaTheme="minorEastAsia" w:hAnsi="Arial" w:cs="Arial"/>
          <w:color w:val="000000"/>
          <w:lang w:eastAsia="es-ES"/>
        </w:rPr>
        <w:t>Aragón</w:t>
      </w:r>
      <w:r w:rsidRPr="00BA3E83">
        <w:rPr>
          <w:rFonts w:ascii="Arial" w:eastAsiaTheme="minorEastAsia" w:hAnsi="Arial" w:cs="Arial"/>
          <w:color w:val="000000"/>
          <w:lang w:eastAsia="es-ES"/>
        </w:rPr>
        <w:t xml:space="preserve">, figura </w:t>
      </w:r>
      <w:r w:rsidR="00BD50AE">
        <w:rPr>
          <w:rFonts w:ascii="Arial" w:eastAsiaTheme="minorEastAsia" w:hAnsi="Arial" w:cs="Arial"/>
          <w:color w:val="000000"/>
          <w:lang w:eastAsia="es-ES"/>
        </w:rPr>
        <w:t>entre los seleccionados</w:t>
      </w:r>
      <w:r w:rsidR="0026128B">
        <w:rPr>
          <w:rFonts w:ascii="Arial" w:eastAsiaTheme="minorEastAsia" w:hAnsi="Arial" w:cs="Arial"/>
          <w:color w:val="000000"/>
          <w:lang w:eastAsia="es-ES"/>
        </w:rPr>
        <w:t>,</w:t>
      </w:r>
      <w:r w:rsidR="00BD50AE">
        <w:rPr>
          <w:rFonts w:ascii="Arial" w:eastAsiaTheme="minorEastAsia" w:hAnsi="Arial" w:cs="Arial"/>
          <w:color w:val="000000"/>
          <w:lang w:eastAsia="es-ES"/>
        </w:rPr>
        <w:t xml:space="preserve"> el Hotel</w:t>
      </w:r>
      <w:r w:rsidRPr="00BA3E83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FC1B59">
        <w:rPr>
          <w:rFonts w:ascii="Arial" w:eastAsiaTheme="minorEastAsia" w:hAnsi="Arial" w:cs="Arial"/>
          <w:color w:val="000000"/>
          <w:lang w:eastAsia="es-ES"/>
        </w:rPr>
        <w:t>Canfranc Estación, en</w:t>
      </w:r>
      <w:r w:rsidR="00BD50AE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FC1B59">
        <w:rPr>
          <w:rFonts w:ascii="Arial" w:eastAsiaTheme="minorEastAsia" w:hAnsi="Arial" w:cs="Arial"/>
          <w:color w:val="000000"/>
          <w:lang w:eastAsia="es-ES"/>
        </w:rPr>
        <w:t>la provincia de Huesca.</w:t>
      </w:r>
      <w:r w:rsidR="00FE4425" w:rsidRPr="00FE4425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26128B" w:rsidRPr="0026128B">
        <w:rPr>
          <w:rFonts w:ascii="Arial" w:eastAsiaTheme="minorEastAsia" w:hAnsi="Arial" w:cs="Arial"/>
          <w:color w:val="000000"/>
          <w:lang w:eastAsia="es-ES"/>
        </w:rPr>
        <w:t>El hotel ocupa la estación internacional de Canfranc,</w:t>
      </w:r>
      <w:r w:rsidR="0026128B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26128B" w:rsidRPr="0026128B">
        <w:rPr>
          <w:rFonts w:ascii="Arial" w:eastAsiaTheme="minorEastAsia" w:hAnsi="Arial" w:cs="Arial"/>
          <w:color w:val="000000"/>
          <w:lang w:eastAsia="es-ES"/>
        </w:rPr>
        <w:t>inaugurada</w:t>
      </w:r>
      <w:r w:rsidR="0026128B" w:rsidRPr="0026128B">
        <w:rPr>
          <w:rFonts w:ascii="Arial" w:eastAsiaTheme="minorEastAsia" w:hAnsi="Arial" w:cs="Arial"/>
          <w:color w:val="000000"/>
          <w:lang w:eastAsia="es-ES"/>
        </w:rPr>
        <w:t xml:space="preserve"> en 1928</w:t>
      </w:r>
      <w:r w:rsidR="0026128B">
        <w:rPr>
          <w:rFonts w:ascii="Arial" w:eastAsiaTheme="minorEastAsia" w:hAnsi="Arial" w:cs="Arial"/>
          <w:color w:val="000000"/>
          <w:lang w:eastAsia="es-ES"/>
        </w:rPr>
        <w:t xml:space="preserve"> e</w:t>
      </w:r>
      <w:r w:rsidR="0026128B" w:rsidRPr="0026128B">
        <w:rPr>
          <w:rFonts w:ascii="Arial" w:eastAsiaTheme="minorEastAsia" w:hAnsi="Arial" w:cs="Arial"/>
          <w:color w:val="000000"/>
          <w:lang w:eastAsia="es-ES"/>
        </w:rPr>
        <w:t>mblema de la arquitectura industrial y</w:t>
      </w:r>
      <w:r w:rsidR="0026128B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26128B" w:rsidRPr="0026128B">
        <w:rPr>
          <w:rFonts w:ascii="Arial" w:eastAsiaTheme="minorEastAsia" w:hAnsi="Arial" w:cs="Arial"/>
          <w:color w:val="000000"/>
          <w:lang w:eastAsia="es-ES"/>
        </w:rPr>
        <w:t>declarado bien de interés cultural en 2002, es uno los complejos</w:t>
      </w:r>
      <w:r w:rsidR="0026128B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26128B" w:rsidRPr="0026128B">
        <w:rPr>
          <w:rFonts w:ascii="Arial" w:eastAsiaTheme="minorEastAsia" w:hAnsi="Arial" w:cs="Arial"/>
          <w:color w:val="000000"/>
          <w:lang w:eastAsia="es-ES"/>
        </w:rPr>
        <w:t>ferroviarios más importantes construidos en la Europa del primer</w:t>
      </w:r>
      <w:r w:rsidR="0026128B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26128B" w:rsidRPr="0026128B">
        <w:rPr>
          <w:rFonts w:ascii="Arial" w:eastAsiaTheme="minorEastAsia" w:hAnsi="Arial" w:cs="Arial"/>
          <w:color w:val="000000"/>
          <w:lang w:eastAsia="es-ES"/>
        </w:rPr>
        <w:t xml:space="preserve">tercio del siglo XX. </w:t>
      </w:r>
      <w:r w:rsidR="0026128B">
        <w:rPr>
          <w:rFonts w:ascii="Arial" w:eastAsiaTheme="minorEastAsia" w:hAnsi="Arial" w:cs="Arial"/>
          <w:color w:val="000000"/>
          <w:lang w:eastAsia="es-ES"/>
        </w:rPr>
        <w:t>La estación histórica convertida en</w:t>
      </w:r>
      <w:r w:rsidR="0026128B" w:rsidRPr="0026128B">
        <w:rPr>
          <w:rFonts w:ascii="Arial" w:eastAsiaTheme="minorEastAsia" w:hAnsi="Arial" w:cs="Arial"/>
          <w:color w:val="000000"/>
          <w:lang w:eastAsia="es-ES"/>
        </w:rPr>
        <w:t xml:space="preserve"> hotel de montaña</w:t>
      </w:r>
      <w:r w:rsidR="0026128B">
        <w:rPr>
          <w:rFonts w:ascii="Arial" w:eastAsiaTheme="minorEastAsia" w:hAnsi="Arial" w:cs="Arial"/>
          <w:color w:val="000000"/>
          <w:lang w:eastAsia="es-ES"/>
        </w:rPr>
        <w:t>, ubicado en el Pirineo</w:t>
      </w:r>
    </w:p>
    <w:p w14:paraId="14AE02D6" w14:textId="77777777" w:rsidR="0026128B" w:rsidRDefault="008C7C3F" w:rsidP="0026128B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8C7C3F">
        <w:rPr>
          <w:rFonts w:ascii="Arial" w:eastAsiaTheme="minorEastAsia" w:hAnsi="Arial" w:cs="Arial"/>
          <w:color w:val="000000"/>
          <w:lang w:eastAsia="es-ES"/>
        </w:rPr>
        <w:t xml:space="preserve">Con este volumen, CaixaBank ha querido mostrar su cercanía y complicidad con un sector comprometido con la excelencia y la mejora continua para alcanzar altísimos estándares </w:t>
      </w:r>
      <w:r w:rsidR="00A90C00">
        <w:rPr>
          <w:rFonts w:ascii="Arial" w:eastAsiaTheme="minorEastAsia" w:hAnsi="Arial" w:cs="Arial"/>
          <w:color w:val="000000"/>
          <w:lang w:eastAsia="es-ES"/>
        </w:rPr>
        <w:t>en</w:t>
      </w:r>
      <w:r w:rsidRPr="008C7C3F">
        <w:rPr>
          <w:rFonts w:ascii="Arial" w:eastAsiaTheme="minorEastAsia" w:hAnsi="Arial" w:cs="Arial"/>
          <w:color w:val="000000"/>
          <w:lang w:eastAsia="es-ES"/>
        </w:rPr>
        <w:t xml:space="preserve"> calidad, innovación y sostenib</w:t>
      </w:r>
      <w:r w:rsidR="00A90C00">
        <w:rPr>
          <w:rFonts w:ascii="Arial" w:eastAsiaTheme="minorEastAsia" w:hAnsi="Arial" w:cs="Arial"/>
          <w:color w:val="000000"/>
          <w:lang w:eastAsia="es-ES"/>
        </w:rPr>
        <w:t>i</w:t>
      </w:r>
      <w:r w:rsidRPr="008C7C3F">
        <w:rPr>
          <w:rFonts w:ascii="Arial" w:eastAsiaTheme="minorEastAsia" w:hAnsi="Arial" w:cs="Arial"/>
          <w:color w:val="000000"/>
          <w:lang w:eastAsia="es-ES"/>
        </w:rPr>
        <w:t xml:space="preserve">lidad. </w:t>
      </w:r>
      <w:r w:rsidR="00DC4B49">
        <w:rPr>
          <w:rFonts w:ascii="Arial" w:eastAsiaTheme="minorEastAsia" w:hAnsi="Arial" w:cs="Arial"/>
          <w:color w:val="000000"/>
          <w:lang w:eastAsia="es-ES"/>
        </w:rPr>
        <w:t xml:space="preserve">El consejero delegado de CaixaBank, Gonzalo Gortázar, </w:t>
      </w:r>
      <w:r w:rsidR="001A738F">
        <w:rPr>
          <w:rFonts w:ascii="Arial" w:eastAsiaTheme="minorEastAsia" w:hAnsi="Arial" w:cs="Arial"/>
          <w:color w:val="000000"/>
          <w:lang w:eastAsia="es-ES"/>
        </w:rPr>
        <w:t xml:space="preserve">ha sido </w:t>
      </w:r>
      <w:r w:rsidR="00DC4B49">
        <w:rPr>
          <w:rFonts w:ascii="Arial" w:eastAsiaTheme="minorEastAsia" w:hAnsi="Arial" w:cs="Arial"/>
          <w:color w:val="000000"/>
          <w:lang w:eastAsia="es-ES"/>
        </w:rPr>
        <w:t xml:space="preserve">el encargado de presentarlo </w:t>
      </w:r>
      <w:r w:rsidR="001A738F">
        <w:rPr>
          <w:rFonts w:ascii="Arial" w:eastAsiaTheme="minorEastAsia" w:hAnsi="Arial" w:cs="Arial"/>
          <w:color w:val="000000"/>
          <w:lang w:eastAsia="es-ES"/>
        </w:rPr>
        <w:t xml:space="preserve">en el stand </w:t>
      </w:r>
      <w:r w:rsidR="00CB539D">
        <w:rPr>
          <w:rFonts w:ascii="Arial" w:eastAsiaTheme="minorEastAsia" w:hAnsi="Arial" w:cs="Arial"/>
          <w:color w:val="000000"/>
          <w:lang w:eastAsia="es-ES"/>
        </w:rPr>
        <w:t>de</w:t>
      </w:r>
      <w:r w:rsidR="001A738F">
        <w:rPr>
          <w:rFonts w:ascii="Arial" w:eastAsiaTheme="minorEastAsia" w:hAnsi="Arial" w:cs="Arial"/>
          <w:color w:val="000000"/>
          <w:lang w:eastAsia="es-ES"/>
        </w:rPr>
        <w:t xml:space="preserve"> CaixaBank en </w:t>
      </w:r>
      <w:r w:rsidR="00DC4B49">
        <w:rPr>
          <w:rFonts w:ascii="Arial" w:hAnsi="Arial" w:cs="Arial"/>
        </w:rPr>
        <w:t>la Feria Internacional de Turismo (FITUR)</w:t>
      </w:r>
      <w:r w:rsidR="00CB539D">
        <w:rPr>
          <w:rFonts w:ascii="Arial" w:hAnsi="Arial" w:cs="Arial"/>
        </w:rPr>
        <w:t>, acompañado por representantes de los 60 hoteles protagonistas.</w:t>
      </w:r>
      <w:r w:rsidR="0026128B">
        <w:rPr>
          <w:rFonts w:ascii="Arial" w:hAnsi="Arial" w:cs="Arial"/>
        </w:rPr>
        <w:t xml:space="preserve"> </w:t>
      </w:r>
    </w:p>
    <w:p w14:paraId="3A4FE29F" w14:textId="70FF7EBD" w:rsidR="00A90C00" w:rsidRDefault="00DC4B49" w:rsidP="0026128B">
      <w:pPr>
        <w:spacing w:line="276" w:lineRule="auto"/>
        <w:ind w:left="-426" w:right="-568"/>
        <w:jc w:val="both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eastAsiaTheme="minorEastAsia" w:hAnsi="Arial" w:cs="Arial"/>
          <w:color w:val="000000"/>
          <w:lang w:eastAsia="es-ES"/>
        </w:rPr>
        <w:lastRenderedPageBreak/>
        <w:t>Precisamente, Gortázar</w:t>
      </w:r>
      <w:r w:rsidR="00A90C00">
        <w:rPr>
          <w:rFonts w:ascii="Arial" w:eastAsiaTheme="minorEastAsia" w:hAnsi="Arial" w:cs="Arial"/>
          <w:color w:val="000000"/>
          <w:lang w:eastAsia="es-ES"/>
        </w:rPr>
        <w:t xml:space="preserve"> ha destacado en el prólogo </w:t>
      </w:r>
      <w:r w:rsidR="00665ED4">
        <w:rPr>
          <w:rFonts w:ascii="Arial" w:eastAsiaTheme="minorEastAsia" w:hAnsi="Arial" w:cs="Arial"/>
          <w:color w:val="000000"/>
          <w:lang w:eastAsia="es-ES"/>
        </w:rPr>
        <w:t>la fortaleza del turismo en España, “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>la principal industria tanto en términos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>de PIB como de empleo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”, que </w:t>
      </w:r>
      <w:r w:rsidR="00A90C00" w:rsidRPr="00A90C00">
        <w:rPr>
          <w:rFonts w:ascii="Arial" w:eastAsiaTheme="minorEastAsia" w:hAnsi="Arial" w:cs="Arial"/>
          <w:color w:val="000000"/>
          <w:lang w:eastAsia="es-ES"/>
        </w:rPr>
        <w:t>se beneficia</w:t>
      </w:r>
      <w:r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665ED4">
        <w:rPr>
          <w:rFonts w:ascii="Arial" w:eastAsiaTheme="minorEastAsia" w:hAnsi="Arial" w:cs="Arial"/>
          <w:color w:val="000000"/>
          <w:lang w:eastAsia="es-ES"/>
        </w:rPr>
        <w:t>“</w:t>
      </w:r>
      <w:r w:rsidR="00A90C00" w:rsidRPr="00A90C00">
        <w:rPr>
          <w:rFonts w:ascii="Arial" w:eastAsiaTheme="minorEastAsia" w:hAnsi="Arial" w:cs="Arial"/>
          <w:color w:val="000000"/>
          <w:lang w:eastAsia="es-ES"/>
        </w:rPr>
        <w:t>de la belleza de nuestras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A90C00" w:rsidRPr="00A90C00">
        <w:rPr>
          <w:rFonts w:ascii="Arial" w:eastAsiaTheme="minorEastAsia" w:hAnsi="Arial" w:cs="Arial"/>
          <w:color w:val="000000"/>
          <w:lang w:eastAsia="es-ES"/>
        </w:rPr>
        <w:t>ciudades, pueblos y parajes naturales, de nuestra historia, cultura y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A90C00" w:rsidRPr="00A90C00">
        <w:rPr>
          <w:rFonts w:ascii="Arial" w:eastAsiaTheme="minorEastAsia" w:hAnsi="Arial" w:cs="Arial"/>
          <w:color w:val="000000"/>
          <w:lang w:eastAsia="es-ES"/>
        </w:rPr>
        <w:t>arquitectura, de nuestra gastronomía, de nuestro carácter hospitalario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 y</w:t>
      </w:r>
      <w:r w:rsidR="00A90C00" w:rsidRPr="00A90C00">
        <w:rPr>
          <w:rFonts w:ascii="Arial" w:eastAsiaTheme="minorEastAsia" w:hAnsi="Arial" w:cs="Arial"/>
          <w:color w:val="000000"/>
          <w:lang w:eastAsia="es-ES"/>
        </w:rPr>
        <w:t xml:space="preserve"> de la calidad de la oferta alojativa, la cual es una referencia a escala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A90C00" w:rsidRPr="00A90C00">
        <w:rPr>
          <w:rFonts w:ascii="Arial" w:eastAsiaTheme="minorEastAsia" w:hAnsi="Arial" w:cs="Arial"/>
          <w:color w:val="000000"/>
          <w:lang w:eastAsia="es-ES"/>
        </w:rPr>
        <w:t>internacional</w:t>
      </w:r>
      <w:r w:rsidR="001A4019">
        <w:rPr>
          <w:rFonts w:ascii="Arial" w:eastAsiaTheme="minorEastAsia" w:hAnsi="Arial" w:cs="Arial"/>
          <w:color w:val="000000"/>
          <w:lang w:eastAsia="es-ES"/>
        </w:rPr>
        <w:t>”</w:t>
      </w:r>
      <w:r>
        <w:rPr>
          <w:rFonts w:ascii="Arial" w:eastAsiaTheme="minorEastAsia" w:hAnsi="Arial" w:cs="Arial"/>
          <w:color w:val="000000"/>
          <w:lang w:eastAsia="es-ES"/>
        </w:rPr>
        <w:t xml:space="preserve">. </w:t>
      </w:r>
    </w:p>
    <w:p w14:paraId="641F4F38" w14:textId="506BEB50" w:rsidR="00665ED4" w:rsidRDefault="00343272" w:rsidP="00665ED4">
      <w:pPr>
        <w:spacing w:line="276" w:lineRule="auto"/>
        <w:ind w:left="-426" w:right="-568"/>
        <w:jc w:val="both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eastAsiaTheme="minorEastAsia" w:hAnsi="Arial" w:cs="Arial"/>
          <w:color w:val="000000"/>
          <w:lang w:eastAsia="es-ES"/>
        </w:rPr>
        <w:t>El libro también cuenta con la participación de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l presidente de </w:t>
      </w:r>
      <w:r w:rsidR="009741C3">
        <w:rPr>
          <w:rFonts w:ascii="Arial" w:eastAsiaTheme="minorEastAsia" w:hAnsi="Arial" w:cs="Arial"/>
          <w:color w:val="000000"/>
          <w:lang w:eastAsia="es-ES"/>
        </w:rPr>
        <w:t xml:space="preserve">la </w:t>
      </w:r>
      <w:bookmarkStart w:id="0" w:name="_Hlk188206489"/>
      <w:r w:rsidR="009741C3" w:rsidRPr="009741C3">
        <w:rPr>
          <w:rFonts w:ascii="Arial" w:eastAsiaTheme="minorEastAsia" w:hAnsi="Arial" w:cs="Arial"/>
          <w:color w:val="000000"/>
          <w:lang w:eastAsia="es-ES"/>
        </w:rPr>
        <w:t>Confederación Española de Hoteles y Alojamientos Turísticos (CEHAT)</w:t>
      </w:r>
      <w:r w:rsidR="00665ED4">
        <w:rPr>
          <w:rFonts w:ascii="Arial" w:eastAsiaTheme="minorEastAsia" w:hAnsi="Arial" w:cs="Arial"/>
          <w:color w:val="000000"/>
          <w:lang w:eastAsia="es-ES"/>
        </w:rPr>
        <w:t>, J</w:t>
      </w:r>
      <w:bookmarkEnd w:id="0"/>
      <w:r w:rsidR="00665ED4">
        <w:rPr>
          <w:rFonts w:ascii="Arial" w:eastAsiaTheme="minorEastAsia" w:hAnsi="Arial" w:cs="Arial"/>
          <w:color w:val="000000"/>
          <w:lang w:eastAsia="es-ES"/>
        </w:rPr>
        <w:t xml:space="preserve">orge Marichal, </w:t>
      </w:r>
      <w:r>
        <w:rPr>
          <w:rFonts w:ascii="Arial" w:eastAsiaTheme="minorEastAsia" w:hAnsi="Arial" w:cs="Arial"/>
          <w:color w:val="000000"/>
          <w:lang w:eastAsia="es-ES"/>
        </w:rPr>
        <w:t xml:space="preserve">que </w:t>
      </w:r>
      <w:r w:rsidR="00665ED4">
        <w:rPr>
          <w:rFonts w:ascii="Arial" w:eastAsiaTheme="minorEastAsia" w:hAnsi="Arial" w:cs="Arial"/>
          <w:color w:val="000000"/>
          <w:lang w:eastAsia="es-ES"/>
        </w:rPr>
        <w:t>ha señalado que el sector turístico supone “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>un auténtico motor económico para España, con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 xml:space="preserve">un impacto transversal que impulsa a </w:t>
      </w:r>
      <w:r w:rsidR="00665ED4">
        <w:rPr>
          <w:rFonts w:ascii="Arial" w:eastAsiaTheme="minorEastAsia" w:hAnsi="Arial" w:cs="Arial"/>
          <w:color w:val="000000"/>
          <w:lang w:eastAsia="es-ES"/>
        </w:rPr>
        <w:t>n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>umerosas industrias y genera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>empleo en todo el territorio</w:t>
      </w:r>
      <w:r w:rsidR="00665ED4">
        <w:rPr>
          <w:rFonts w:ascii="Arial" w:eastAsiaTheme="minorEastAsia" w:hAnsi="Arial" w:cs="Arial"/>
          <w:color w:val="000000"/>
          <w:lang w:eastAsia="es-ES"/>
        </w:rPr>
        <w:t>”. Marichal ha subrayado también la “calidad y singularidad” de los hoteles en España, “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 xml:space="preserve">una pieza clave en esta cadena de valor, </w:t>
      </w:r>
      <w:r w:rsidR="00665ED4">
        <w:rPr>
          <w:rFonts w:ascii="Arial" w:eastAsiaTheme="minorEastAsia" w:hAnsi="Arial" w:cs="Arial"/>
          <w:color w:val="000000"/>
          <w:lang w:eastAsia="es-ES"/>
        </w:rPr>
        <w:t>que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 xml:space="preserve"> ofrecen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 xml:space="preserve">experiencias </w:t>
      </w:r>
      <w:r w:rsidR="00665ED4">
        <w:rPr>
          <w:rFonts w:ascii="Arial" w:eastAsiaTheme="minorEastAsia" w:hAnsi="Arial" w:cs="Arial"/>
          <w:color w:val="000000"/>
          <w:lang w:eastAsia="es-ES"/>
        </w:rPr>
        <w:t>ú</w:t>
      </w:r>
      <w:r w:rsidR="00665ED4" w:rsidRPr="00665ED4">
        <w:rPr>
          <w:rFonts w:ascii="Arial" w:eastAsiaTheme="minorEastAsia" w:hAnsi="Arial" w:cs="Arial"/>
          <w:color w:val="000000"/>
          <w:lang w:eastAsia="es-ES"/>
        </w:rPr>
        <w:t>nicas que cautivan a millones de visitantes</w:t>
      </w:r>
      <w:r w:rsidR="00665ED4">
        <w:rPr>
          <w:rFonts w:ascii="Arial" w:eastAsiaTheme="minorEastAsia" w:hAnsi="Arial" w:cs="Arial"/>
          <w:color w:val="000000"/>
          <w:lang w:eastAsia="es-ES"/>
        </w:rPr>
        <w:t xml:space="preserve">”. </w:t>
      </w:r>
    </w:p>
    <w:p w14:paraId="48BD18CB" w14:textId="1916B86C" w:rsidR="00343272" w:rsidRPr="00CB539D" w:rsidRDefault="00665ED4" w:rsidP="00CB539D">
      <w:pPr>
        <w:spacing w:line="276" w:lineRule="auto"/>
        <w:ind w:left="-426" w:right="-568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color w:val="000000"/>
          <w:lang w:eastAsia="es-ES"/>
        </w:rPr>
        <w:t xml:space="preserve">A través de la publicación de este volumen, que recoge sólo una pequeña muestra de la singularidad de la oferta turística de la geografía española, CaixaBank </w:t>
      </w:r>
      <w:proofErr w:type="spellStart"/>
      <w:r>
        <w:rPr>
          <w:rFonts w:ascii="Arial" w:eastAsiaTheme="minorEastAsia" w:hAnsi="Arial" w:cs="Arial"/>
          <w:color w:val="000000"/>
          <w:lang w:eastAsia="es-ES"/>
        </w:rPr>
        <w:t>Hotel&amp;Turism</w:t>
      </w:r>
      <w:proofErr w:type="spellEnd"/>
      <w:r>
        <w:rPr>
          <w:rFonts w:ascii="Arial" w:eastAsiaTheme="minorEastAsia" w:hAnsi="Arial" w:cs="Arial"/>
          <w:color w:val="000000"/>
          <w:lang w:eastAsia="es-ES"/>
        </w:rPr>
        <w:t xml:space="preserve"> </w:t>
      </w:r>
      <w:r w:rsidR="009833F3">
        <w:rPr>
          <w:rFonts w:ascii="Arial" w:eastAsiaTheme="minorEastAsia" w:hAnsi="Arial" w:cs="Arial"/>
          <w:color w:val="000000"/>
          <w:lang w:eastAsia="es-ES"/>
        </w:rPr>
        <w:t>pone en valor la oferta tan diversa y diferencial del sector de los alojamientos turísticos. Los hoteles han sido seleccionados entre los que cumplen los estándares más exigentes, con el objetivo de pintar un mosaico policromo y heterogéneo de arquitecturas, dimensiones y paisajes. Alojamientos emblemáticos,</w:t>
      </w:r>
      <w:r w:rsidR="00CB539D">
        <w:rPr>
          <w:rFonts w:ascii="Arial" w:eastAsiaTheme="minorEastAsia" w:hAnsi="Arial" w:cs="Arial"/>
          <w:color w:val="000000"/>
          <w:lang w:eastAsia="es-ES"/>
        </w:rPr>
        <w:t xml:space="preserve"> históricos, </w:t>
      </w:r>
      <w:r w:rsidR="009833F3">
        <w:rPr>
          <w:rFonts w:ascii="Arial" w:eastAsiaTheme="minorEastAsia" w:hAnsi="Arial" w:cs="Arial"/>
          <w:color w:val="000000"/>
          <w:lang w:eastAsia="es-ES"/>
        </w:rPr>
        <w:t>sostenibles, gastronómicos o artísticos, pero hotele</w:t>
      </w:r>
      <w:r w:rsidR="009833F3" w:rsidRPr="00CB539D">
        <w:rPr>
          <w:rFonts w:ascii="Arial" w:eastAsiaTheme="minorEastAsia" w:hAnsi="Arial" w:cs="Arial"/>
          <w:lang w:eastAsia="es-ES"/>
        </w:rPr>
        <w:t xml:space="preserve">s excepcionales, en cualquier caso. </w:t>
      </w:r>
    </w:p>
    <w:p w14:paraId="2BA79D5E" w14:textId="7A65883C" w:rsidR="00F53C92" w:rsidRPr="00CB539D" w:rsidRDefault="00B31B65" w:rsidP="00DC4B49">
      <w:pPr>
        <w:spacing w:line="276" w:lineRule="auto"/>
        <w:ind w:left="-426" w:right="-568"/>
        <w:jc w:val="both"/>
        <w:rPr>
          <w:rFonts w:ascii="Arial" w:eastAsiaTheme="minorEastAsia" w:hAnsi="Arial" w:cs="Arial"/>
          <w:lang w:eastAsia="es-ES"/>
        </w:rPr>
      </w:pPr>
      <w:r w:rsidRPr="00CB539D">
        <w:rPr>
          <w:rFonts w:ascii="Arial" w:eastAsiaTheme="minorEastAsia" w:hAnsi="Arial" w:cs="Arial"/>
          <w:lang w:eastAsia="es-ES"/>
        </w:rPr>
        <w:t xml:space="preserve">Este trabajo estará disponible también en formato digital </w:t>
      </w:r>
      <w:r w:rsidR="00DC4B49" w:rsidRPr="00CB539D">
        <w:rPr>
          <w:rFonts w:ascii="Arial" w:eastAsiaTheme="minorEastAsia" w:hAnsi="Arial" w:cs="Arial"/>
          <w:lang w:eastAsia="es-ES"/>
        </w:rPr>
        <w:t xml:space="preserve">en </w:t>
      </w:r>
      <w:r w:rsidR="00CB539D" w:rsidRPr="00CB539D">
        <w:rPr>
          <w:rFonts w:ascii="Arial" w:eastAsiaTheme="minorEastAsia" w:hAnsi="Arial" w:cs="Arial"/>
          <w:lang w:eastAsia="es-ES"/>
        </w:rPr>
        <w:t xml:space="preserve">la web de </w:t>
      </w:r>
      <w:hyperlink r:id="rId8" w:history="1">
        <w:proofErr w:type="spellStart"/>
        <w:r w:rsidR="00CB539D" w:rsidRPr="009741C3">
          <w:rPr>
            <w:rStyle w:val="Hipervnculo"/>
            <w:rFonts w:ascii="Arial" w:eastAsiaTheme="minorEastAsia" w:hAnsi="Arial" w:cs="Arial"/>
            <w:lang w:eastAsia="es-ES"/>
          </w:rPr>
          <w:t>Hotels&amp;Turism</w:t>
        </w:r>
        <w:proofErr w:type="spellEnd"/>
        <w:r w:rsidR="00CB539D" w:rsidRPr="009741C3">
          <w:rPr>
            <w:rStyle w:val="Hipervnculo"/>
            <w:rFonts w:ascii="Arial" w:eastAsiaTheme="minorEastAsia" w:hAnsi="Arial" w:cs="Arial"/>
            <w:lang w:eastAsia="es-ES"/>
          </w:rPr>
          <w:t>.</w:t>
        </w:r>
      </w:hyperlink>
      <w:r w:rsidR="00CB539D" w:rsidRPr="00CB539D">
        <w:rPr>
          <w:rFonts w:ascii="Arial" w:eastAsiaTheme="minorEastAsia" w:hAnsi="Arial" w:cs="Arial"/>
          <w:lang w:eastAsia="es-ES"/>
        </w:rPr>
        <w:t xml:space="preserve"> </w:t>
      </w:r>
    </w:p>
    <w:p w14:paraId="4D0AE8E3" w14:textId="456238D8" w:rsidR="00DC1A36" w:rsidRPr="00DC1A36" w:rsidRDefault="002002AA" w:rsidP="00DC1A36">
      <w:pPr>
        <w:pStyle w:val="Prrafobsico"/>
        <w:suppressAutoHyphens/>
        <w:spacing w:before="227" w:line="276" w:lineRule="auto"/>
        <w:ind w:left="-426"/>
        <w:jc w:val="both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bookmarkStart w:id="1" w:name="_Hlk186551943"/>
      <w:r w:rsidRPr="00DC1A36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CaixaBank </w:t>
      </w:r>
      <w:proofErr w:type="spellStart"/>
      <w:r w:rsidRPr="00DC1A36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Hotels</w:t>
      </w:r>
      <w:proofErr w:type="spellEnd"/>
      <w:r w:rsidRPr="00DC1A36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&amp; </w:t>
      </w:r>
      <w:proofErr w:type="spellStart"/>
      <w:r w:rsidRPr="00DC1A36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Tourism</w:t>
      </w:r>
      <w:proofErr w:type="spellEnd"/>
      <w:r w:rsidRPr="00DC1A36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="00DC1A36" w:rsidRPr="00DC1A36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apoyo firme al sector hotelero</w:t>
      </w:r>
    </w:p>
    <w:p w14:paraId="323CAA48" w14:textId="7DD80730" w:rsidR="00DC1A36" w:rsidRPr="000C31AE" w:rsidRDefault="002002AA" w:rsidP="00DC1A3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DC1A36">
        <w:rPr>
          <w:rFonts w:ascii="Arial" w:hAnsi="Arial" w:cs="Arial"/>
          <w:sz w:val="22"/>
          <w:szCs w:val="22"/>
          <w:lang w:val="es-ES"/>
        </w:rPr>
        <w:t xml:space="preserve">Gracias a su especialización en el </w:t>
      </w:r>
      <w:r w:rsidRPr="00DC1A36">
        <w:rPr>
          <w:rFonts w:ascii="Arial" w:hAnsi="Arial" w:cs="Arial"/>
          <w:sz w:val="22"/>
          <w:szCs w:val="22"/>
        </w:rPr>
        <w:t>sector turístico a través de CaixaBank Hotels&amp;Tourism, la entidad tiene capacidad para detectar</w:t>
      </w:r>
      <w:r w:rsidRPr="00DC1A36">
        <w:rPr>
          <w:rFonts w:ascii="Arial" w:hAnsi="Arial" w:cs="Arial"/>
          <w:sz w:val="22"/>
          <w:szCs w:val="22"/>
          <w:lang w:val="es-ES"/>
        </w:rPr>
        <w:t xml:space="preserve"> y adaptarse con agilidad a las necesidades de este tipo de empresas</w:t>
      </w:r>
      <w:r w:rsidR="00DC1A36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2668906A" w14:textId="599C227A" w:rsidR="00DC1A36" w:rsidRPr="00DC1A36" w:rsidRDefault="002002AA" w:rsidP="00DC1A3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bCs/>
          <w:sz w:val="22"/>
          <w:szCs w:val="22"/>
        </w:rPr>
      </w:pPr>
      <w:r w:rsidRPr="00DC1A36">
        <w:rPr>
          <w:rFonts w:ascii="Arial" w:hAnsi="Arial" w:cs="Arial"/>
          <w:sz w:val="22"/>
          <w:szCs w:val="22"/>
          <w:lang w:val="es-ES"/>
        </w:rPr>
        <w:t xml:space="preserve">A través de </w:t>
      </w:r>
      <w:r w:rsidRPr="00DC1A36">
        <w:rPr>
          <w:rFonts w:ascii="Arial" w:hAnsi="Arial" w:cs="Arial"/>
          <w:sz w:val="22"/>
          <w:szCs w:val="22"/>
        </w:rPr>
        <w:t xml:space="preserve">CaixaBank </w:t>
      </w:r>
      <w:proofErr w:type="spellStart"/>
      <w:r w:rsidRPr="00DC1A36">
        <w:rPr>
          <w:rFonts w:ascii="Arial" w:hAnsi="Arial" w:cs="Arial"/>
          <w:sz w:val="22"/>
          <w:szCs w:val="22"/>
        </w:rPr>
        <w:t>Hotels</w:t>
      </w:r>
      <w:proofErr w:type="spellEnd"/>
      <w:r w:rsidRPr="00DC1A3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DC1A36">
        <w:rPr>
          <w:rFonts w:ascii="Arial" w:hAnsi="Arial" w:cs="Arial"/>
          <w:sz w:val="22"/>
          <w:szCs w:val="22"/>
        </w:rPr>
        <w:t>Tourism</w:t>
      </w:r>
      <w:proofErr w:type="spellEnd"/>
      <w:r w:rsidRPr="00DC1A36">
        <w:rPr>
          <w:rFonts w:ascii="Arial" w:hAnsi="Arial" w:cs="Arial"/>
          <w:sz w:val="22"/>
          <w:szCs w:val="22"/>
        </w:rPr>
        <w:t>,</w:t>
      </w:r>
      <w:r w:rsidRPr="00DC1A36">
        <w:rPr>
          <w:rFonts w:ascii="Arial" w:hAnsi="Arial" w:cs="Arial"/>
          <w:sz w:val="22"/>
          <w:szCs w:val="22"/>
          <w:lang w:val="es-ES"/>
        </w:rPr>
        <w:t xml:space="preserve"> la entidad pone a disposición del mercado hotelero una oferta de productos y servicios diferenciales para ayudar a optimizar la rentabilidad de su negocio y a simplificar su actividad diaria, teniendo en cuenta las necesidades de cada tipología: hoteles, alojamientos turísticos y campings</w:t>
      </w:r>
      <w:r w:rsidR="00DC1A36">
        <w:rPr>
          <w:rFonts w:ascii="Arial" w:hAnsi="Arial" w:cs="Arial"/>
          <w:sz w:val="22"/>
          <w:szCs w:val="22"/>
          <w:lang w:val="es-ES"/>
        </w:rPr>
        <w:t>. Presta</w:t>
      </w:r>
      <w:r w:rsidR="00DC1A36" w:rsidRPr="00DC1A36">
        <w:rPr>
          <w:rFonts w:ascii="Arial" w:hAnsi="Arial" w:cs="Arial"/>
          <w:sz w:val="22"/>
          <w:szCs w:val="22"/>
          <w:lang w:val="es-ES"/>
        </w:rPr>
        <w:t xml:space="preserve"> servicio a través de un equipo de profesionales especializados en el mercado hotelero y los más de 2.200 gestores de la entidad expertos en el asesoramiento empresarial.</w:t>
      </w:r>
    </w:p>
    <w:p w14:paraId="09EDA91B" w14:textId="550BCC7F" w:rsidR="002002AA" w:rsidRPr="00DC1A36" w:rsidRDefault="002002AA" w:rsidP="002002AA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DC1A36">
        <w:rPr>
          <w:rFonts w:ascii="Arial" w:hAnsi="Arial" w:cs="Arial"/>
          <w:sz w:val="22"/>
          <w:szCs w:val="22"/>
          <w:lang w:val="es-ES"/>
        </w:rPr>
        <w:t xml:space="preserve">Además, CaixaBank </w:t>
      </w:r>
      <w:proofErr w:type="spellStart"/>
      <w:r w:rsidRPr="00DC1A36">
        <w:rPr>
          <w:rFonts w:ascii="Arial" w:hAnsi="Arial" w:cs="Arial"/>
          <w:sz w:val="22"/>
          <w:szCs w:val="22"/>
          <w:lang w:val="es-ES"/>
        </w:rPr>
        <w:t>Hotels</w:t>
      </w:r>
      <w:proofErr w:type="spellEnd"/>
      <w:r w:rsidRPr="00DC1A36">
        <w:rPr>
          <w:rFonts w:ascii="Arial" w:hAnsi="Arial" w:cs="Arial"/>
          <w:sz w:val="22"/>
          <w:szCs w:val="22"/>
          <w:lang w:val="es-ES"/>
        </w:rPr>
        <w:t xml:space="preserve"> &amp; </w:t>
      </w:r>
      <w:proofErr w:type="spellStart"/>
      <w:r w:rsidRPr="00DC1A36">
        <w:rPr>
          <w:rFonts w:ascii="Arial" w:hAnsi="Arial" w:cs="Arial"/>
          <w:sz w:val="22"/>
          <w:szCs w:val="22"/>
          <w:lang w:val="es-ES"/>
        </w:rPr>
        <w:t>Tourism</w:t>
      </w:r>
      <w:proofErr w:type="spellEnd"/>
      <w:r w:rsidRPr="00DC1A36">
        <w:rPr>
          <w:rFonts w:ascii="Arial" w:hAnsi="Arial" w:cs="Arial"/>
          <w:sz w:val="22"/>
          <w:szCs w:val="22"/>
          <w:lang w:val="es-ES"/>
        </w:rPr>
        <w:t xml:space="preserve"> tiene una sensibilidad especial con los proyectos sostenibles, como por ejemplo aquellos que incorporan mejoras en eficiencia energética, accesibilidad, gestión del agua y residuos, o que promuevan la incorporación laboral de personas en riesgo de exclusión. Desde la entidad, además, se impulsan iniciativas de impacto social a las que las empresas del sector tienen acceso, como el programa ReUtilízame, que canaliza excedentes de material de las empresas hoteleras a entidades sociales</w:t>
      </w:r>
      <w:r w:rsidR="00CB539D">
        <w:rPr>
          <w:rFonts w:ascii="Arial" w:hAnsi="Arial" w:cs="Arial"/>
          <w:sz w:val="22"/>
          <w:szCs w:val="22"/>
          <w:lang w:val="es-ES"/>
        </w:rPr>
        <w:t xml:space="preserve">; o Incorpora, que facilita el acceso de personas en riesgo de exclusión al mundo </w:t>
      </w:r>
      <w:r w:rsidR="00CB539D">
        <w:rPr>
          <w:rFonts w:ascii="Arial" w:hAnsi="Arial" w:cs="Arial"/>
          <w:sz w:val="22"/>
          <w:szCs w:val="22"/>
          <w:lang w:val="es-ES"/>
        </w:rPr>
        <w:lastRenderedPageBreak/>
        <w:t xml:space="preserve">laboral. </w:t>
      </w:r>
    </w:p>
    <w:p w14:paraId="7E1CC3CB" w14:textId="307C9A45" w:rsidR="00100BB1" w:rsidRPr="00292F90" w:rsidRDefault="002002AA" w:rsidP="009741C3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bCs/>
          <w:color w:val="auto"/>
          <w:sz w:val="22"/>
          <w:szCs w:val="22"/>
          <w:lang w:val="es-ES"/>
        </w:rPr>
      </w:pPr>
      <w:proofErr w:type="spellStart"/>
      <w:r w:rsidRPr="0017303F">
        <w:rPr>
          <w:rFonts w:ascii="Arial" w:hAnsi="Arial" w:cs="Arial"/>
          <w:sz w:val="22"/>
          <w:szCs w:val="22"/>
          <w:lang w:val="es-ES"/>
        </w:rPr>
        <w:t>Hotels</w:t>
      </w:r>
      <w:proofErr w:type="spellEnd"/>
      <w:r w:rsidRPr="0017303F">
        <w:rPr>
          <w:rFonts w:ascii="Arial" w:hAnsi="Arial" w:cs="Arial"/>
          <w:sz w:val="22"/>
          <w:szCs w:val="22"/>
          <w:lang w:val="es-ES"/>
        </w:rPr>
        <w:t xml:space="preserve"> &amp; </w:t>
      </w:r>
      <w:proofErr w:type="spellStart"/>
      <w:r w:rsidRPr="0017303F">
        <w:rPr>
          <w:rFonts w:ascii="Arial" w:hAnsi="Arial" w:cs="Arial"/>
          <w:sz w:val="22"/>
          <w:szCs w:val="22"/>
          <w:lang w:val="es-ES"/>
        </w:rPr>
        <w:t>Tourism</w:t>
      </w:r>
      <w:proofErr w:type="spellEnd"/>
      <w:r w:rsidRPr="0017303F">
        <w:rPr>
          <w:rFonts w:ascii="Arial" w:hAnsi="Arial" w:cs="Arial"/>
          <w:sz w:val="22"/>
          <w:szCs w:val="22"/>
          <w:lang w:val="es-ES"/>
        </w:rPr>
        <w:t xml:space="preserve"> tiene convenios con más de 40 federaciones y asociaciones hoteleras, y organiza periódicamente encuentros con empresarios referentes del sector por toda la geografía española. La entidad financiera participa también en las principales ferias turísticas internacionales (</w:t>
      </w:r>
      <w:proofErr w:type="spellStart"/>
      <w:r w:rsidRPr="0017303F">
        <w:rPr>
          <w:rFonts w:ascii="Arial" w:hAnsi="Arial" w:cs="Arial"/>
          <w:sz w:val="22"/>
          <w:szCs w:val="22"/>
          <w:lang w:val="es-ES"/>
        </w:rPr>
        <w:t>Fitur</w:t>
      </w:r>
      <w:proofErr w:type="spellEnd"/>
      <w:r w:rsidRPr="0017303F">
        <w:rPr>
          <w:rFonts w:ascii="Arial" w:hAnsi="Arial" w:cs="Arial"/>
          <w:sz w:val="22"/>
          <w:szCs w:val="22"/>
          <w:lang w:val="es-ES"/>
        </w:rPr>
        <w:t>, WTM, ITB); en los eventos</w:t>
      </w:r>
      <w:r w:rsidRPr="00022816">
        <w:rPr>
          <w:rFonts w:ascii="Arial" w:hAnsi="Arial" w:cs="Arial"/>
          <w:sz w:val="22"/>
          <w:szCs w:val="22"/>
          <w:lang w:val="es-ES"/>
        </w:rPr>
        <w:t xml:space="preserve"> sectoriales </w:t>
      </w:r>
      <w:r>
        <w:rPr>
          <w:rFonts w:ascii="Arial" w:hAnsi="Arial" w:cs="Arial"/>
          <w:sz w:val="22"/>
          <w:szCs w:val="22"/>
          <w:lang w:val="es-ES"/>
        </w:rPr>
        <w:t>más relevantes q</w:t>
      </w:r>
      <w:r w:rsidRPr="00022816">
        <w:rPr>
          <w:rFonts w:ascii="Arial" w:hAnsi="Arial" w:cs="Arial"/>
          <w:sz w:val="22"/>
          <w:szCs w:val="22"/>
          <w:lang w:val="es-ES"/>
        </w:rPr>
        <w:t xml:space="preserve">ue se celebran en nuestro país </w:t>
      </w:r>
      <w:r>
        <w:rPr>
          <w:rFonts w:ascii="Arial" w:hAnsi="Arial" w:cs="Arial"/>
          <w:sz w:val="22"/>
          <w:szCs w:val="22"/>
          <w:lang w:val="es-ES"/>
        </w:rPr>
        <w:t>y también es miembro de la ONU Turismo, el organismo de Naciones Unidas encargado de la promoción de un turismo responsable, sostenible y accesible para todos.</w:t>
      </w:r>
      <w:bookmarkEnd w:id="1"/>
    </w:p>
    <w:sectPr w:rsidR="00100BB1" w:rsidRPr="00292F90" w:rsidSect="00B91F49">
      <w:headerReference w:type="default" r:id="rId9"/>
      <w:footerReference w:type="default" r:id="rId10"/>
      <w:pgSz w:w="11906" w:h="16838"/>
      <w:pgMar w:top="2552" w:right="1701" w:bottom="2410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C728" w14:textId="77777777" w:rsidR="004A2957" w:rsidRDefault="004A2957" w:rsidP="001E4FCE">
      <w:pPr>
        <w:spacing w:after="0" w:line="240" w:lineRule="auto"/>
      </w:pPr>
      <w:r>
        <w:separator/>
      </w:r>
    </w:p>
  </w:endnote>
  <w:endnote w:type="continuationSeparator" w:id="0">
    <w:p w14:paraId="5F8BDBE3" w14:textId="77777777" w:rsidR="004A2957" w:rsidRDefault="004A2957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3126CE37" w:rsidR="008F0D64" w:rsidRPr="00B60236" w:rsidRDefault="00E23E47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01BA43B" wp14:editId="546567F7">
          <wp:simplePos x="0" y="0"/>
          <wp:positionH relativeFrom="column">
            <wp:posOffset>1043940</wp:posOffset>
          </wp:positionH>
          <wp:positionV relativeFrom="page">
            <wp:posOffset>9373235</wp:posOffset>
          </wp:positionV>
          <wp:extent cx="4935220" cy="795020"/>
          <wp:effectExtent l="0" t="0" r="0" b="508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22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84B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749C20CD">
              <wp:simplePos x="0" y="0"/>
              <wp:positionH relativeFrom="page">
                <wp:posOffset>542925</wp:posOffset>
              </wp:positionH>
              <wp:positionV relativeFrom="paragraph">
                <wp:posOffset>-357505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26128B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2.75pt;margin-top:-28.15pt;width:11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00000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8584B">
      <w:rPr>
        <w:noProof/>
      </w:rPr>
      <w:t xml:space="preserve"> </w: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68839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F0D64" w:rsidRPr="00B60236">
          <w:rPr>
            <w:rFonts w:ascii="Arial" w:hAnsi="Arial" w:cs="Arial"/>
            <w:sz w:val="16"/>
            <w:szCs w:val="16"/>
          </w:rPr>
          <w:fldChar w:fldCharType="begin"/>
        </w:r>
        <w:r w:rsidR="008F0D64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8F0D64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8F0D64" w:rsidRPr="00B60236">
          <w:rPr>
            <w:rFonts w:ascii="Arial" w:hAnsi="Arial" w:cs="Arial"/>
            <w:sz w:val="16"/>
            <w:szCs w:val="16"/>
          </w:rPr>
          <w:t>2</w:t>
        </w:r>
        <w:r w:rsidR="008F0D64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C56A361" w14:textId="01EA410B" w:rsidR="00D040E1" w:rsidRDefault="00D04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88A7" w14:textId="77777777" w:rsidR="004A2957" w:rsidRDefault="004A2957" w:rsidP="001E4FCE">
      <w:pPr>
        <w:spacing w:after="0" w:line="240" w:lineRule="auto"/>
      </w:pPr>
      <w:r>
        <w:separator/>
      </w:r>
    </w:p>
  </w:footnote>
  <w:footnote w:type="continuationSeparator" w:id="0">
    <w:p w14:paraId="3FAAD441" w14:textId="77777777" w:rsidR="004A2957" w:rsidRDefault="004A2957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2D7DD440" w:rsidR="001E4FCE" w:rsidRDefault="00B602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124F7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7" name="Imagen 7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7FB"/>
    <w:multiLevelType w:val="hybridMultilevel"/>
    <w:tmpl w:val="DD78FBDE"/>
    <w:lvl w:ilvl="0" w:tplc="8B0E304A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7B52B3B"/>
    <w:multiLevelType w:val="multilevel"/>
    <w:tmpl w:val="6C3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73691"/>
    <w:multiLevelType w:val="hybridMultilevel"/>
    <w:tmpl w:val="F8A6B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329A"/>
    <w:multiLevelType w:val="multilevel"/>
    <w:tmpl w:val="D2F4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C2785"/>
    <w:multiLevelType w:val="hybridMultilevel"/>
    <w:tmpl w:val="A596D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2001F"/>
    <w:multiLevelType w:val="multilevel"/>
    <w:tmpl w:val="C85A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05992"/>
    <w:multiLevelType w:val="hybridMultilevel"/>
    <w:tmpl w:val="FA4862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190">
    <w:abstractNumId w:val="7"/>
  </w:num>
  <w:num w:numId="2" w16cid:durableId="696270982">
    <w:abstractNumId w:val="2"/>
  </w:num>
  <w:num w:numId="3" w16cid:durableId="1355501960">
    <w:abstractNumId w:val="6"/>
  </w:num>
  <w:num w:numId="4" w16cid:durableId="1117481131">
    <w:abstractNumId w:val="0"/>
  </w:num>
  <w:num w:numId="5" w16cid:durableId="140730268">
    <w:abstractNumId w:val="5"/>
  </w:num>
  <w:num w:numId="6" w16cid:durableId="486167980">
    <w:abstractNumId w:val="1"/>
  </w:num>
  <w:num w:numId="7" w16cid:durableId="1298729473">
    <w:abstractNumId w:val="3"/>
  </w:num>
  <w:num w:numId="8" w16cid:durableId="1025904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130DF"/>
    <w:rsid w:val="00051CF6"/>
    <w:rsid w:val="0006627E"/>
    <w:rsid w:val="000906F9"/>
    <w:rsid w:val="000D0614"/>
    <w:rsid w:val="000E073A"/>
    <w:rsid w:val="000F44BC"/>
    <w:rsid w:val="00100BB1"/>
    <w:rsid w:val="001131AA"/>
    <w:rsid w:val="0014220F"/>
    <w:rsid w:val="00142EA6"/>
    <w:rsid w:val="001525AE"/>
    <w:rsid w:val="00154307"/>
    <w:rsid w:val="0017462A"/>
    <w:rsid w:val="0018584B"/>
    <w:rsid w:val="001879A5"/>
    <w:rsid w:val="001A4019"/>
    <w:rsid w:val="001A435E"/>
    <w:rsid w:val="001A4420"/>
    <w:rsid w:val="001A738F"/>
    <w:rsid w:val="001C0D47"/>
    <w:rsid w:val="001C3A05"/>
    <w:rsid w:val="001D4F30"/>
    <w:rsid w:val="001E01BB"/>
    <w:rsid w:val="001E4FCE"/>
    <w:rsid w:val="001F5497"/>
    <w:rsid w:val="002002AA"/>
    <w:rsid w:val="00205192"/>
    <w:rsid w:val="00260680"/>
    <w:rsid w:val="0026128B"/>
    <w:rsid w:val="00276D0C"/>
    <w:rsid w:val="00280225"/>
    <w:rsid w:val="002834FA"/>
    <w:rsid w:val="00292F90"/>
    <w:rsid w:val="002B65A1"/>
    <w:rsid w:val="002F01A1"/>
    <w:rsid w:val="002F761A"/>
    <w:rsid w:val="00343272"/>
    <w:rsid w:val="00344D61"/>
    <w:rsid w:val="003C2503"/>
    <w:rsid w:val="003C2C20"/>
    <w:rsid w:val="003E1F87"/>
    <w:rsid w:val="00416D69"/>
    <w:rsid w:val="00422B0C"/>
    <w:rsid w:val="004371C2"/>
    <w:rsid w:val="00455197"/>
    <w:rsid w:val="0046103B"/>
    <w:rsid w:val="00471743"/>
    <w:rsid w:val="00481FEA"/>
    <w:rsid w:val="004A2957"/>
    <w:rsid w:val="004A60A1"/>
    <w:rsid w:val="00500F89"/>
    <w:rsid w:val="005B33EC"/>
    <w:rsid w:val="005F33A3"/>
    <w:rsid w:val="005F6FD3"/>
    <w:rsid w:val="00601423"/>
    <w:rsid w:val="0060264E"/>
    <w:rsid w:val="00653A49"/>
    <w:rsid w:val="00665ED4"/>
    <w:rsid w:val="00672CE4"/>
    <w:rsid w:val="00686D89"/>
    <w:rsid w:val="00691819"/>
    <w:rsid w:val="006B37BE"/>
    <w:rsid w:val="006C45A5"/>
    <w:rsid w:val="00764E1C"/>
    <w:rsid w:val="007A47E5"/>
    <w:rsid w:val="007B21E7"/>
    <w:rsid w:val="007B3E32"/>
    <w:rsid w:val="007D3B2A"/>
    <w:rsid w:val="007E2753"/>
    <w:rsid w:val="008060F0"/>
    <w:rsid w:val="00856A41"/>
    <w:rsid w:val="00865427"/>
    <w:rsid w:val="00870DC3"/>
    <w:rsid w:val="008C7C3F"/>
    <w:rsid w:val="008E235B"/>
    <w:rsid w:val="008F0D64"/>
    <w:rsid w:val="00947070"/>
    <w:rsid w:val="00973980"/>
    <w:rsid w:val="009741C3"/>
    <w:rsid w:val="009833F3"/>
    <w:rsid w:val="00A1337D"/>
    <w:rsid w:val="00A67A79"/>
    <w:rsid w:val="00A86544"/>
    <w:rsid w:val="00A90C00"/>
    <w:rsid w:val="00A93ECF"/>
    <w:rsid w:val="00AA00EF"/>
    <w:rsid w:val="00AB1C0B"/>
    <w:rsid w:val="00B116E9"/>
    <w:rsid w:val="00B31B65"/>
    <w:rsid w:val="00B36B6C"/>
    <w:rsid w:val="00B519E3"/>
    <w:rsid w:val="00B60236"/>
    <w:rsid w:val="00B81103"/>
    <w:rsid w:val="00B86B11"/>
    <w:rsid w:val="00B91F49"/>
    <w:rsid w:val="00BA3E83"/>
    <w:rsid w:val="00BA5503"/>
    <w:rsid w:val="00BC0AEF"/>
    <w:rsid w:val="00BD46E0"/>
    <w:rsid w:val="00BD50AE"/>
    <w:rsid w:val="00C76E19"/>
    <w:rsid w:val="00C81AE5"/>
    <w:rsid w:val="00C81DF2"/>
    <w:rsid w:val="00CB539D"/>
    <w:rsid w:val="00CC1975"/>
    <w:rsid w:val="00CD39E5"/>
    <w:rsid w:val="00D040E1"/>
    <w:rsid w:val="00D1446A"/>
    <w:rsid w:val="00DA0828"/>
    <w:rsid w:val="00DA52D4"/>
    <w:rsid w:val="00DC1A36"/>
    <w:rsid w:val="00DC4B49"/>
    <w:rsid w:val="00DC4D7A"/>
    <w:rsid w:val="00E101FD"/>
    <w:rsid w:val="00E23E47"/>
    <w:rsid w:val="00E5635A"/>
    <w:rsid w:val="00E6220D"/>
    <w:rsid w:val="00E65D2D"/>
    <w:rsid w:val="00E70C8D"/>
    <w:rsid w:val="00E95E9D"/>
    <w:rsid w:val="00EA39E5"/>
    <w:rsid w:val="00EC4734"/>
    <w:rsid w:val="00EC4DD7"/>
    <w:rsid w:val="00EF3A93"/>
    <w:rsid w:val="00F034BF"/>
    <w:rsid w:val="00F27885"/>
    <w:rsid w:val="00F53C92"/>
    <w:rsid w:val="00F73653"/>
    <w:rsid w:val="00FA4564"/>
    <w:rsid w:val="00FA716A"/>
    <w:rsid w:val="00FB2EFA"/>
    <w:rsid w:val="00FC1B59"/>
    <w:rsid w:val="00FC7D71"/>
    <w:rsid w:val="00FD2952"/>
    <w:rsid w:val="00FD52FD"/>
    <w:rsid w:val="00FD7136"/>
    <w:rsid w:val="00FE4425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qFormat/>
    <w:rsid w:val="005B33E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E70C8D"/>
    <w:rPr>
      <w:i/>
      <w:iCs/>
    </w:rPr>
  </w:style>
  <w:style w:type="paragraph" w:styleId="Revisin">
    <w:name w:val="Revision"/>
    <w:hidden/>
    <w:uiPriority w:val="99"/>
    <w:semiHidden/>
    <w:rsid w:val="00B116E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11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1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1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6E9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2002AA"/>
  </w:style>
  <w:style w:type="character" w:styleId="Hipervnculovisitado">
    <w:name w:val="FollowedHyperlink"/>
    <w:basedOn w:val="Fuentedeprrafopredeter"/>
    <w:uiPriority w:val="99"/>
    <w:semiHidden/>
    <w:unhideWhenUsed/>
    <w:rsid w:val="009741C3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D5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xabank.es/empresa/hotels-touris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ELENA MARIA MARTIN EGEA</cp:lastModifiedBy>
  <cp:revision>2</cp:revision>
  <dcterms:created xsi:type="dcterms:W3CDTF">2025-01-23T11:05:00Z</dcterms:created>
  <dcterms:modified xsi:type="dcterms:W3CDTF">2025-01-23T11:05:00Z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