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42AA" w14:textId="77777777" w:rsidR="009E14B9" w:rsidRPr="00D254DF" w:rsidRDefault="009E14B9" w:rsidP="009E14B9">
      <w:pPr>
        <w:spacing w:line="240" w:lineRule="auto"/>
        <w:ind w:left="-426" w:right="-568"/>
        <w:rPr>
          <w:rFonts w:ascii="Arial" w:hAnsi="Arial" w:cs="Arial"/>
          <w:b/>
          <w:bCs/>
          <w:i/>
          <w:iCs/>
          <w:color w:val="404040"/>
        </w:rPr>
      </w:pPr>
      <w:bookmarkStart w:id="0" w:name="_Hlk172286929"/>
      <w:r>
        <w:rPr>
          <w:rFonts w:ascii="Arial" w:hAnsi="Arial" w:cs="Arial"/>
          <w:b/>
          <w:bCs/>
          <w:i/>
          <w:iCs/>
          <w:color w:val="404040"/>
        </w:rPr>
        <w:t>CaixaBank, entidad líder del sector agroalimentario</w:t>
      </w:r>
    </w:p>
    <w:p w14:paraId="2CA26520" w14:textId="777806DC" w:rsidR="009E14B9" w:rsidRPr="00E92182" w:rsidRDefault="009E14B9" w:rsidP="009E14B9">
      <w:pPr>
        <w:spacing w:line="240" w:lineRule="auto"/>
        <w:ind w:left="-426" w:right="-568"/>
        <w:rPr>
          <w:rFonts w:ascii="Arial" w:hAnsi="Arial" w:cs="Arial"/>
          <w:b/>
          <w:bCs/>
          <w:i/>
          <w:iCs/>
          <w:color w:val="009FEA"/>
          <w:sz w:val="32"/>
          <w:szCs w:val="32"/>
        </w:rPr>
      </w:pPr>
      <w:proofErr w:type="spellStart"/>
      <w:r w:rsidRPr="63E6BD0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AgroBank</w:t>
      </w:r>
      <w:proofErr w:type="spellEnd"/>
      <w:r w:rsidRPr="63E6BD0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financia con </w:t>
      </w:r>
      <w:r w:rsidR="00B210C0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540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millones al </w:t>
      </w:r>
      <w:r w:rsidRPr="63E6BD0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sector agroalimentario</w:t>
      </w:r>
      <w:r w:rsidR="009C181D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de </w:t>
      </w:r>
      <w:r w:rsidR="00174D71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Extremadura</w:t>
      </w:r>
      <w:r w:rsidRPr="63E6BD0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en el primer semestre</w:t>
      </w:r>
      <w:r w:rsidRPr="63E6BD0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, un </w:t>
      </w:r>
      <w:r w:rsidR="00F618FD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>24</w:t>
      </w:r>
      <w:r w:rsidRPr="63E6BD0F">
        <w:rPr>
          <w:rFonts w:ascii="Arial" w:hAnsi="Arial" w:cs="Arial"/>
          <w:b/>
          <w:bCs/>
          <w:i/>
          <w:iCs/>
          <w:color w:val="009FEA"/>
          <w:sz w:val="32"/>
          <w:szCs w:val="32"/>
        </w:rPr>
        <w:t xml:space="preserve">% más </w:t>
      </w:r>
    </w:p>
    <w:p w14:paraId="6D0E4FB8" w14:textId="77777777" w:rsidR="009E14B9" w:rsidRPr="00D254DF" w:rsidRDefault="009E14B9" w:rsidP="009E14B9">
      <w:pPr>
        <w:spacing w:line="240" w:lineRule="auto"/>
        <w:ind w:left="-426" w:right="-568"/>
        <w:rPr>
          <w:rFonts w:ascii="Arial" w:hAnsi="Arial" w:cs="Arial"/>
        </w:rPr>
      </w:pPr>
    </w:p>
    <w:p w14:paraId="5915308A" w14:textId="604FFE71" w:rsidR="009E14B9" w:rsidRDefault="009E14B9" w:rsidP="009C181D">
      <w:pPr>
        <w:pStyle w:val="Prrafodelista"/>
        <w:numPr>
          <w:ilvl w:val="0"/>
          <w:numId w:val="1"/>
        </w:numPr>
        <w:spacing w:after="0" w:line="276" w:lineRule="auto"/>
        <w:ind w:left="0" w:right="-568"/>
        <w:jc w:val="both"/>
        <w:textAlignment w:val="baseline"/>
        <w:rPr>
          <w:rStyle w:val="eop"/>
          <w:rFonts w:ascii="Arial" w:hAnsi="Arial" w:cs="Arial"/>
          <w:color w:val="000000"/>
          <w:sz w:val="24"/>
          <w:szCs w:val="24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La entidad c</w:t>
      </w:r>
      <w:r w:rsidRPr="00D254DF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uenta con </w:t>
      </w:r>
      <w:r w:rsidR="00174D71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43</w:t>
      </w:r>
      <w:r w:rsidRPr="00D254DF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oficinas especializadas </w:t>
      </w:r>
      <w:proofErr w:type="spellStart"/>
      <w:r w:rsidRPr="00D254DF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AgroBank</w:t>
      </w:r>
      <w:proofErr w:type="spellEnd"/>
      <w:r w:rsidRPr="00D254DF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, la mayor red de sucursales del sector agroalimentario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, con</w:t>
      </w:r>
      <w:r w:rsidRPr="00D254DF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presencia en las </w:t>
      </w:r>
      <w:r w:rsidR="00F618FD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dos </w:t>
      </w:r>
      <w:r w:rsidRPr="00D254DF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provincias</w:t>
      </w:r>
    </w:p>
    <w:p w14:paraId="1CF41126" w14:textId="77777777" w:rsidR="009E14B9" w:rsidRDefault="009E14B9" w:rsidP="009C181D">
      <w:pPr>
        <w:pStyle w:val="Prrafodelista"/>
        <w:spacing w:line="276" w:lineRule="auto"/>
        <w:ind w:left="0" w:right="-568"/>
        <w:jc w:val="both"/>
        <w:rPr>
          <w:rStyle w:val="normaltextrun"/>
          <w:rFonts w:ascii="Arial" w:hAnsi="Arial" w:cs="Arial"/>
          <w:color w:val="000000"/>
          <w:sz w:val="24"/>
          <w:szCs w:val="24"/>
        </w:rPr>
      </w:pPr>
    </w:p>
    <w:p w14:paraId="5A42B1AD" w14:textId="77777777" w:rsidR="009E14B9" w:rsidRPr="000C4C78" w:rsidRDefault="009E14B9" w:rsidP="009C181D">
      <w:pPr>
        <w:pStyle w:val="Prrafodelista"/>
        <w:numPr>
          <w:ilvl w:val="0"/>
          <w:numId w:val="1"/>
        </w:numPr>
        <w:spacing w:line="276" w:lineRule="auto"/>
        <w:ind w:left="0" w:right="-568"/>
        <w:jc w:val="both"/>
        <w:rPr>
          <w:rStyle w:val="normaltextrun"/>
          <w:rFonts w:ascii="Arial" w:hAnsi="Arial" w:cs="Arial"/>
          <w:color w:val="000000"/>
          <w:sz w:val="24"/>
          <w:szCs w:val="24"/>
        </w:rPr>
      </w:pPr>
      <w:r w:rsidRPr="3F05658C">
        <w:rPr>
          <w:rStyle w:val="normaltextrun"/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Uno de cada dos agricultores y ganaderos en España trabaja con CaixaBank  </w:t>
      </w:r>
    </w:p>
    <w:p w14:paraId="4BA70FA4" w14:textId="77777777" w:rsidR="009E14B9" w:rsidRPr="004B28D0" w:rsidRDefault="009E14B9" w:rsidP="009C181D">
      <w:pPr>
        <w:pStyle w:val="Prrafodelista"/>
        <w:spacing w:after="0" w:line="276" w:lineRule="auto"/>
        <w:ind w:left="0" w:right="-568"/>
        <w:jc w:val="both"/>
        <w:textAlignment w:val="baseline"/>
        <w:rPr>
          <w:rStyle w:val="normaltextrun"/>
          <w:b/>
          <w:bCs/>
          <w:i/>
          <w:iCs/>
        </w:rPr>
      </w:pPr>
    </w:p>
    <w:p w14:paraId="630FDF97" w14:textId="7A02756A" w:rsidR="009E14B9" w:rsidRPr="004B28D0" w:rsidRDefault="00610FC3" w:rsidP="009C181D">
      <w:pPr>
        <w:pStyle w:val="Prrafodelista"/>
        <w:numPr>
          <w:ilvl w:val="0"/>
          <w:numId w:val="1"/>
        </w:numPr>
        <w:spacing w:after="0" w:line="276" w:lineRule="auto"/>
        <w:ind w:left="0" w:right="-568"/>
        <w:jc w:val="both"/>
        <w:textAlignment w:val="baseline"/>
        <w:rPr>
          <w:rStyle w:val="normaltextrun"/>
          <w:i/>
          <w:iCs/>
          <w:color w:val="000000"/>
          <w:sz w:val="24"/>
          <w:szCs w:val="24"/>
        </w:rPr>
      </w:pPr>
      <w:r w:rsidRPr="00610FC3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Juan Luis Vidal</w:t>
      </w:r>
      <w:r w:rsidR="009E14B9" w:rsidRPr="00610FC3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director </w:t>
      </w:r>
      <w:r w:rsidR="009C181D" w:rsidRPr="00610FC3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territorial de CaixaBank en </w:t>
      </w:r>
      <w:r w:rsidRPr="00610FC3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Castilla-La Mancha y Extremadura</w:t>
      </w:r>
      <w:r w:rsidR="009E14B9" w:rsidRPr="00610FC3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, explica que “</w:t>
      </w:r>
      <w:r w:rsidR="004B28D0" w:rsidRPr="00610FC3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estas muy buenas cifras de financiación son reflejo del compromiso de la entidad con el mundo rural, no solo desde el punto de vista financiero, sino también social y de innovación</w:t>
      </w:r>
      <w:r w:rsidR="004B28D0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>”</w:t>
      </w:r>
      <w:r w:rsidR="004B28D0" w:rsidRPr="004B28D0">
        <w:rPr>
          <w:rStyle w:val="normaltextrun"/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 </w:t>
      </w:r>
    </w:p>
    <w:p w14:paraId="73019BF6" w14:textId="77777777" w:rsidR="009E14B9" w:rsidRPr="0051429E" w:rsidRDefault="009E14B9" w:rsidP="009E14B9">
      <w:pPr>
        <w:spacing w:line="240" w:lineRule="auto"/>
        <w:ind w:left="-426" w:right="-568"/>
        <w:rPr>
          <w:rFonts w:ascii="Arial" w:hAnsi="Arial" w:cs="Arial"/>
          <w:b/>
          <w:bCs/>
          <w:highlight w:val="yellow"/>
        </w:rPr>
      </w:pPr>
    </w:p>
    <w:p w14:paraId="1FC93317" w14:textId="692DA898" w:rsidR="009E14B9" w:rsidRPr="00D254DF" w:rsidRDefault="00F618FD" w:rsidP="009E14B9">
      <w:pPr>
        <w:spacing w:line="240" w:lineRule="auto"/>
        <w:ind w:left="-426" w:right="-5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Mérida</w:t>
      </w:r>
      <w:r w:rsidR="009C181D">
        <w:rPr>
          <w:rFonts w:ascii="Arial" w:hAnsi="Arial" w:cs="Arial"/>
          <w:b/>
          <w:bCs/>
        </w:rPr>
        <w:t xml:space="preserve">, </w:t>
      </w:r>
      <w:r w:rsidR="009E14B9">
        <w:rPr>
          <w:rFonts w:ascii="Arial" w:hAnsi="Arial" w:cs="Arial"/>
          <w:b/>
          <w:bCs/>
        </w:rPr>
        <w:t>21 de agosto de 2024</w:t>
      </w:r>
    </w:p>
    <w:p w14:paraId="04B9C39D" w14:textId="01AEA9BE" w:rsidR="009E14B9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proofErr w:type="spellStart"/>
      <w:r w:rsidRPr="63E6BD0F">
        <w:rPr>
          <w:rFonts w:ascii="Arial" w:hAnsi="Arial" w:cs="Arial"/>
        </w:rPr>
        <w:t>AgroBank</w:t>
      </w:r>
      <w:proofErr w:type="spellEnd"/>
      <w:r w:rsidRPr="63E6BD0F">
        <w:rPr>
          <w:rFonts w:ascii="Arial" w:hAnsi="Arial" w:cs="Arial"/>
        </w:rPr>
        <w:t xml:space="preserve"> ha cerrado el </w:t>
      </w:r>
      <w:r>
        <w:rPr>
          <w:rFonts w:ascii="Arial" w:hAnsi="Arial" w:cs="Arial"/>
        </w:rPr>
        <w:t xml:space="preserve">primer semestre de 2024 </w:t>
      </w:r>
      <w:r w:rsidRPr="63E6BD0F">
        <w:rPr>
          <w:rFonts w:ascii="Arial" w:hAnsi="Arial" w:cs="Arial"/>
        </w:rPr>
        <w:t xml:space="preserve">con una financiación al conjunto de la cadena agroalimentaria </w:t>
      </w:r>
      <w:r w:rsidR="009C181D">
        <w:rPr>
          <w:rFonts w:ascii="Arial" w:hAnsi="Arial" w:cs="Arial"/>
        </w:rPr>
        <w:t xml:space="preserve">de </w:t>
      </w:r>
      <w:r w:rsidR="00174D71">
        <w:rPr>
          <w:rFonts w:ascii="Arial" w:hAnsi="Arial" w:cs="Arial"/>
        </w:rPr>
        <w:t>Extremadura</w:t>
      </w:r>
      <w:r w:rsidR="009C181D">
        <w:rPr>
          <w:rFonts w:ascii="Arial" w:hAnsi="Arial" w:cs="Arial"/>
        </w:rPr>
        <w:t xml:space="preserve"> </w:t>
      </w:r>
      <w:r w:rsidRPr="63E6BD0F">
        <w:rPr>
          <w:rFonts w:ascii="Arial" w:hAnsi="Arial" w:cs="Arial"/>
        </w:rPr>
        <w:t xml:space="preserve">de </w:t>
      </w:r>
      <w:r w:rsidR="00B210C0">
        <w:rPr>
          <w:rFonts w:ascii="Arial" w:hAnsi="Arial" w:cs="Arial"/>
        </w:rPr>
        <w:t>540</w:t>
      </w:r>
      <w:r>
        <w:rPr>
          <w:rFonts w:ascii="Arial" w:hAnsi="Arial" w:cs="Arial"/>
        </w:rPr>
        <w:t xml:space="preserve"> </w:t>
      </w:r>
      <w:r w:rsidRPr="63E6BD0F">
        <w:rPr>
          <w:rFonts w:ascii="Arial" w:hAnsi="Arial" w:cs="Arial"/>
        </w:rPr>
        <w:t>millones de euros, lo que supone un crecimiento de</w:t>
      </w:r>
      <w:r w:rsidR="00F618FD">
        <w:rPr>
          <w:rFonts w:ascii="Arial" w:hAnsi="Arial" w:cs="Arial"/>
        </w:rPr>
        <w:t xml:space="preserve"> casi el</w:t>
      </w:r>
      <w:r w:rsidRPr="63E6BD0F">
        <w:rPr>
          <w:rFonts w:ascii="Arial" w:hAnsi="Arial" w:cs="Arial"/>
        </w:rPr>
        <w:t xml:space="preserve"> </w:t>
      </w:r>
      <w:r w:rsidR="00B210C0">
        <w:rPr>
          <w:rFonts w:ascii="Arial" w:hAnsi="Arial" w:cs="Arial"/>
        </w:rPr>
        <w:t>2</w:t>
      </w:r>
      <w:r w:rsidR="00F618FD">
        <w:rPr>
          <w:rFonts w:ascii="Arial" w:hAnsi="Arial" w:cs="Arial"/>
        </w:rPr>
        <w:t>4%</w:t>
      </w:r>
      <w:r w:rsidRPr="63E6BD0F">
        <w:rPr>
          <w:rFonts w:ascii="Arial" w:hAnsi="Arial" w:cs="Arial"/>
        </w:rPr>
        <w:t xml:space="preserve"> con respecto al </w:t>
      </w:r>
      <w:r>
        <w:rPr>
          <w:rFonts w:ascii="Arial" w:hAnsi="Arial" w:cs="Arial"/>
        </w:rPr>
        <w:t xml:space="preserve">mismo periodo del </w:t>
      </w:r>
      <w:r w:rsidRPr="63E6BD0F">
        <w:rPr>
          <w:rFonts w:ascii="Arial" w:hAnsi="Arial" w:cs="Arial"/>
        </w:rPr>
        <w:t xml:space="preserve">año anterior. La línea de negocio de CaixaBank especializada en el sector agroalimentario acompaña a sus clientes </w:t>
      </w:r>
      <w:r>
        <w:rPr>
          <w:rFonts w:ascii="Arial" w:hAnsi="Arial" w:cs="Arial"/>
        </w:rPr>
        <w:t xml:space="preserve">a través de </w:t>
      </w:r>
      <w:r w:rsidR="00174D71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</w:t>
      </w:r>
      <w:r w:rsidRPr="63E6BD0F">
        <w:rPr>
          <w:rFonts w:ascii="Arial" w:hAnsi="Arial" w:cs="Arial"/>
        </w:rPr>
        <w:t xml:space="preserve">oficinas especializadas distribuidas en toda </w:t>
      </w:r>
      <w:r w:rsidR="00174D71">
        <w:rPr>
          <w:rFonts w:ascii="Arial" w:hAnsi="Arial" w:cs="Arial"/>
        </w:rPr>
        <w:t>Extremadura</w:t>
      </w:r>
      <w:r w:rsidRPr="63E6BD0F">
        <w:rPr>
          <w:rFonts w:ascii="Arial" w:hAnsi="Arial" w:cs="Arial"/>
        </w:rPr>
        <w:t>, con presencia en las</w:t>
      </w:r>
      <w:r w:rsidR="00F618FD">
        <w:rPr>
          <w:rFonts w:ascii="Arial" w:hAnsi="Arial" w:cs="Arial"/>
        </w:rPr>
        <w:t xml:space="preserve"> dos</w:t>
      </w:r>
      <w:r w:rsidRPr="63E6BD0F">
        <w:rPr>
          <w:rFonts w:ascii="Arial" w:hAnsi="Arial" w:cs="Arial"/>
        </w:rPr>
        <w:t xml:space="preserve"> provincias, especialmente en municipios rurales. </w:t>
      </w:r>
    </w:p>
    <w:p w14:paraId="659211BC" w14:textId="62DB70A2" w:rsidR="009E14B9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3F05658C">
        <w:rPr>
          <w:rFonts w:ascii="Arial" w:hAnsi="Arial" w:cs="Arial"/>
        </w:rPr>
        <w:t xml:space="preserve">El modelo de negocio de </w:t>
      </w:r>
      <w:proofErr w:type="spellStart"/>
      <w:r w:rsidRPr="3F05658C">
        <w:rPr>
          <w:rFonts w:ascii="Arial" w:hAnsi="Arial" w:cs="Arial"/>
        </w:rPr>
        <w:t>AgroBank</w:t>
      </w:r>
      <w:proofErr w:type="spellEnd"/>
      <w:r w:rsidRPr="3F05658C">
        <w:rPr>
          <w:rFonts w:ascii="Arial" w:hAnsi="Arial" w:cs="Arial"/>
        </w:rPr>
        <w:t xml:space="preserve"> se despliega, además, gracias a </w:t>
      </w:r>
      <w:r w:rsidR="00174D71">
        <w:rPr>
          <w:rFonts w:ascii="Arial" w:hAnsi="Arial" w:cs="Arial"/>
        </w:rPr>
        <w:t>96</w:t>
      </w:r>
      <w:r w:rsidRPr="3F05658C">
        <w:rPr>
          <w:rFonts w:ascii="Arial" w:hAnsi="Arial" w:cs="Arial"/>
        </w:rPr>
        <w:t xml:space="preserve"> gestores especializados, profesionales con formación específica en las necesidades y las particularidades del sector, con conocimientos concretos en función de los tipos de cultivos</w:t>
      </w:r>
      <w:r>
        <w:rPr>
          <w:rFonts w:ascii="Arial" w:hAnsi="Arial" w:cs="Arial"/>
        </w:rPr>
        <w:t xml:space="preserve">, </w:t>
      </w:r>
      <w:r w:rsidRPr="3F05658C">
        <w:rPr>
          <w:rFonts w:ascii="Arial" w:hAnsi="Arial" w:cs="Arial"/>
        </w:rPr>
        <w:t xml:space="preserve">ganaderías </w:t>
      </w:r>
      <w:r>
        <w:rPr>
          <w:rFonts w:ascii="Arial" w:hAnsi="Arial" w:cs="Arial"/>
        </w:rPr>
        <w:t xml:space="preserve">o actividad pesquera </w:t>
      </w:r>
      <w:r w:rsidRPr="3F05658C">
        <w:rPr>
          <w:rFonts w:ascii="Arial" w:hAnsi="Arial" w:cs="Arial"/>
        </w:rPr>
        <w:t xml:space="preserve">de cada población. </w:t>
      </w:r>
      <w:bookmarkStart w:id="1" w:name="_Int_7JYF8KDr"/>
    </w:p>
    <w:p w14:paraId="2FBF3FE0" w14:textId="77777777" w:rsidR="009E14B9" w:rsidRPr="00610FC3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3F05658C">
        <w:rPr>
          <w:rFonts w:ascii="Arial" w:hAnsi="Arial" w:cs="Arial"/>
        </w:rPr>
        <w:t xml:space="preserve">Además, los equipos de riesgos están especializados en sus zonas de influencia con el fin de que conozcan muy de cerca las necesidades de los clientes y entiendan sus flujos financieros. </w:t>
      </w:r>
      <w:bookmarkEnd w:id="1"/>
      <w:r w:rsidRPr="3F05658C">
        <w:rPr>
          <w:rFonts w:ascii="Arial" w:hAnsi="Arial" w:cs="Arial"/>
        </w:rPr>
        <w:t xml:space="preserve">Con </w:t>
      </w:r>
      <w:r w:rsidRPr="00610FC3">
        <w:rPr>
          <w:rFonts w:ascii="Arial" w:hAnsi="Arial" w:cs="Arial"/>
        </w:rPr>
        <w:t xml:space="preserve">todo ello, uno de cada dos agricultores y ganaderos en España trabaja con </w:t>
      </w:r>
      <w:proofErr w:type="spellStart"/>
      <w:r w:rsidRPr="00610FC3">
        <w:rPr>
          <w:rFonts w:ascii="Arial" w:hAnsi="Arial" w:cs="Arial"/>
        </w:rPr>
        <w:t>AgroBank</w:t>
      </w:r>
      <w:proofErr w:type="spellEnd"/>
      <w:r w:rsidRPr="00610FC3">
        <w:rPr>
          <w:rFonts w:ascii="Arial" w:hAnsi="Arial" w:cs="Arial"/>
        </w:rPr>
        <w:t>.</w:t>
      </w:r>
    </w:p>
    <w:p w14:paraId="57024166" w14:textId="54B83795" w:rsidR="009E14B9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10FC3">
        <w:rPr>
          <w:rFonts w:ascii="Arial" w:hAnsi="Arial" w:cs="Arial"/>
        </w:rPr>
        <w:t>El</w:t>
      </w:r>
      <w:r w:rsidR="009C181D" w:rsidRPr="00610FC3">
        <w:rPr>
          <w:rFonts w:ascii="Arial" w:hAnsi="Arial" w:cs="Arial"/>
        </w:rPr>
        <w:t xml:space="preserve"> director</w:t>
      </w:r>
      <w:r w:rsidR="00610FC3" w:rsidRPr="00610FC3">
        <w:rPr>
          <w:rFonts w:ascii="Arial" w:hAnsi="Arial" w:cs="Arial"/>
        </w:rPr>
        <w:t xml:space="preserve"> territorial</w:t>
      </w:r>
      <w:r w:rsidRPr="00610FC3">
        <w:rPr>
          <w:rFonts w:ascii="Arial" w:hAnsi="Arial" w:cs="Arial"/>
        </w:rPr>
        <w:t xml:space="preserve"> de </w:t>
      </w:r>
      <w:r w:rsidR="009C181D" w:rsidRPr="00610FC3">
        <w:rPr>
          <w:rFonts w:ascii="Arial" w:hAnsi="Arial" w:cs="Arial"/>
        </w:rPr>
        <w:t xml:space="preserve">CaixaBank en </w:t>
      </w:r>
      <w:proofErr w:type="spellStart"/>
      <w:r w:rsidR="00610FC3" w:rsidRPr="00610FC3">
        <w:rPr>
          <w:rFonts w:ascii="Arial" w:hAnsi="Arial" w:cs="Arial"/>
        </w:rPr>
        <w:t>Castlla</w:t>
      </w:r>
      <w:proofErr w:type="spellEnd"/>
      <w:r w:rsidR="00610FC3" w:rsidRPr="00610FC3">
        <w:rPr>
          <w:rFonts w:ascii="Arial" w:hAnsi="Arial" w:cs="Arial"/>
        </w:rPr>
        <w:t>-La Mancha y Extremadura</w:t>
      </w:r>
      <w:r w:rsidRPr="00610FC3">
        <w:rPr>
          <w:rFonts w:ascii="Arial" w:hAnsi="Arial" w:cs="Arial"/>
        </w:rPr>
        <w:t xml:space="preserve">, </w:t>
      </w:r>
      <w:r w:rsidR="00610FC3" w:rsidRPr="00610FC3">
        <w:rPr>
          <w:rFonts w:ascii="Arial" w:hAnsi="Arial" w:cs="Arial"/>
        </w:rPr>
        <w:t>Juan Luis Vidal</w:t>
      </w:r>
      <w:r w:rsidRPr="00610FC3">
        <w:rPr>
          <w:rFonts w:ascii="Arial" w:hAnsi="Arial" w:cs="Arial"/>
        </w:rPr>
        <w:t xml:space="preserve">, ha explicado que “estas </w:t>
      </w:r>
      <w:r w:rsidR="004B28D0" w:rsidRPr="00610FC3">
        <w:rPr>
          <w:rFonts w:ascii="Arial" w:hAnsi="Arial" w:cs="Arial"/>
        </w:rPr>
        <w:t xml:space="preserve">muy buenas </w:t>
      </w:r>
      <w:r w:rsidRPr="00610FC3">
        <w:rPr>
          <w:rFonts w:ascii="Arial" w:hAnsi="Arial" w:cs="Arial"/>
        </w:rPr>
        <w:t>cifras de financiación son reflejo del compromiso de la entidad con el mundo rural, no solo desde el punto de vista financiero, sino también social</w:t>
      </w:r>
      <w:r w:rsidRPr="008003C8">
        <w:rPr>
          <w:rFonts w:ascii="Arial" w:hAnsi="Arial" w:cs="Arial"/>
        </w:rPr>
        <w:t xml:space="preserve"> y de innovación</w:t>
      </w:r>
      <w:r>
        <w:rPr>
          <w:rFonts w:ascii="Arial" w:hAnsi="Arial" w:cs="Arial"/>
        </w:rPr>
        <w:t xml:space="preserve">. El sector agro y la cadena alimentaria </w:t>
      </w:r>
      <w:r w:rsidR="004B28D0">
        <w:rPr>
          <w:rFonts w:ascii="Arial" w:hAnsi="Arial" w:cs="Arial"/>
        </w:rPr>
        <w:t xml:space="preserve">son </w:t>
      </w:r>
      <w:r>
        <w:rPr>
          <w:rFonts w:ascii="Arial" w:hAnsi="Arial" w:cs="Arial"/>
        </w:rPr>
        <w:t>fundamentales en la economía española</w:t>
      </w:r>
      <w:r w:rsidR="004B28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para favorecer su competitividad, eficiencia y sostenibilidad CaixaBank cuenta con un amplio equipo de gestores y una propuesta de valor especializada que cubre las necesidades de todos sus clientes, además de acompañarlos en el </w:t>
      </w:r>
      <w:r w:rsidR="004B28D0">
        <w:rPr>
          <w:rFonts w:ascii="Arial" w:hAnsi="Arial" w:cs="Arial"/>
        </w:rPr>
        <w:t xml:space="preserve">necesario </w:t>
      </w:r>
      <w:r>
        <w:rPr>
          <w:rFonts w:ascii="Arial" w:hAnsi="Arial" w:cs="Arial"/>
        </w:rPr>
        <w:t xml:space="preserve">proceso de transformación”. </w:t>
      </w:r>
    </w:p>
    <w:p w14:paraId="0C93DBC5" w14:textId="7D2690CA" w:rsidR="009E14B9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Plataforma para la transformación del sector </w:t>
      </w:r>
    </w:p>
    <w:p w14:paraId="1F62D5C2" w14:textId="268783FC" w:rsidR="009E14B9" w:rsidRPr="00E772BB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los principales hitos de </w:t>
      </w:r>
      <w:proofErr w:type="spellStart"/>
      <w:r w:rsidRPr="00E772BB">
        <w:rPr>
          <w:rFonts w:ascii="Arial" w:hAnsi="Arial" w:cs="Arial"/>
        </w:rPr>
        <w:t>AgroBank</w:t>
      </w:r>
      <w:proofErr w:type="spellEnd"/>
      <w:r>
        <w:rPr>
          <w:rFonts w:ascii="Arial" w:hAnsi="Arial" w:cs="Arial"/>
        </w:rPr>
        <w:t xml:space="preserve"> durante los primeros seis meses </w:t>
      </w:r>
      <w:r w:rsidR="004B28D0">
        <w:rPr>
          <w:rFonts w:ascii="Arial" w:hAnsi="Arial" w:cs="Arial"/>
        </w:rPr>
        <w:t xml:space="preserve">de 2024 </w:t>
      </w:r>
      <w:r>
        <w:rPr>
          <w:rFonts w:ascii="Arial" w:hAnsi="Arial" w:cs="Arial"/>
        </w:rPr>
        <w:t>se encuentra e</w:t>
      </w:r>
      <w:r w:rsidR="00AB275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lanzamiento </w:t>
      </w:r>
      <w:r w:rsidR="00AB275F">
        <w:rPr>
          <w:rFonts w:ascii="Arial" w:hAnsi="Arial" w:cs="Arial"/>
        </w:rPr>
        <w:t xml:space="preserve">de </w:t>
      </w:r>
      <w:r w:rsidRPr="00E772BB">
        <w:rPr>
          <w:rFonts w:ascii="Arial" w:hAnsi="Arial" w:cs="Arial"/>
        </w:rPr>
        <w:t>una plataforma digital para clientes y no clientes que tiene como objetivo contribuir a la transformación del campo español, impulsar la innovación, la sostenibilidad y reforzar la comunicación entre los distintos agentes del sector.</w:t>
      </w:r>
    </w:p>
    <w:p w14:paraId="2DAF2801" w14:textId="77777777" w:rsidR="009E14B9" w:rsidRPr="00E772BB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proofErr w:type="spellStart"/>
      <w:r w:rsidRPr="00FA5B6B">
        <w:rPr>
          <w:rFonts w:ascii="Arial" w:hAnsi="Arial" w:cs="Arial"/>
          <w:i/>
          <w:iCs/>
        </w:rPr>
        <w:t>AgroBank</w:t>
      </w:r>
      <w:proofErr w:type="spellEnd"/>
      <w:r w:rsidRPr="00FA5B6B">
        <w:rPr>
          <w:rFonts w:ascii="Arial" w:hAnsi="Arial" w:cs="Arial"/>
          <w:i/>
          <w:iCs/>
        </w:rPr>
        <w:t xml:space="preserve"> </w:t>
      </w:r>
      <w:proofErr w:type="gramStart"/>
      <w:r w:rsidRPr="00FA5B6B">
        <w:rPr>
          <w:rFonts w:ascii="Arial" w:hAnsi="Arial" w:cs="Arial"/>
          <w:i/>
          <w:iCs/>
        </w:rPr>
        <w:t>Hub</w:t>
      </w:r>
      <w:proofErr w:type="gramEnd"/>
      <w:r w:rsidRPr="00E772BB">
        <w:rPr>
          <w:rFonts w:ascii="Arial" w:hAnsi="Arial" w:cs="Arial"/>
        </w:rPr>
        <w:t xml:space="preserve"> está concebido como un ecosistema que quiere transformar la manera en la que clientes y no clientes de la entidad se relacionan con el sector agroalimentario, y ser un punto de encuentro y referente para todos los agentes</w:t>
      </w:r>
      <w:r>
        <w:rPr>
          <w:rFonts w:ascii="Arial" w:hAnsi="Arial" w:cs="Arial"/>
        </w:rPr>
        <w:t xml:space="preserve">. </w:t>
      </w:r>
    </w:p>
    <w:p w14:paraId="339E6E81" w14:textId="53A4734E" w:rsidR="009E14B9" w:rsidRPr="00E772BB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E772BB">
        <w:rPr>
          <w:rFonts w:ascii="Arial" w:hAnsi="Arial" w:cs="Arial"/>
        </w:rPr>
        <w:t xml:space="preserve">De esta manera, en una única plataforma se integran cuatro verticales: actualidad, con información fiable y contrastada a disposición del sector agro a nivel nacional; un entorno de soluciones para la óptima toma de decisiones a través de herramientas y simuladores; un </w:t>
      </w:r>
      <w:proofErr w:type="spellStart"/>
      <w:r w:rsidRPr="00FA5B6B">
        <w:rPr>
          <w:rFonts w:ascii="Arial" w:hAnsi="Arial" w:cs="Arial"/>
          <w:i/>
          <w:iCs/>
        </w:rPr>
        <w:t>marketplace</w:t>
      </w:r>
      <w:proofErr w:type="spellEnd"/>
      <w:r w:rsidRPr="00E772BB">
        <w:rPr>
          <w:rFonts w:ascii="Arial" w:hAnsi="Arial" w:cs="Arial"/>
        </w:rPr>
        <w:t xml:space="preserve"> con productos y servicios especializados; y, por último, una comunidad que tiene como objetivo contribuir a la transformación del sector.</w:t>
      </w:r>
    </w:p>
    <w:p w14:paraId="600210EB" w14:textId="77777777" w:rsidR="009E14B9" w:rsidRPr="00E772BB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proofErr w:type="spellStart"/>
      <w:r w:rsidRPr="00FA5B6B">
        <w:rPr>
          <w:rFonts w:ascii="Arial" w:hAnsi="Arial" w:cs="Arial"/>
          <w:i/>
          <w:iCs/>
        </w:rPr>
        <w:t>AgroBank</w:t>
      </w:r>
      <w:proofErr w:type="spellEnd"/>
      <w:r w:rsidRPr="00FA5B6B">
        <w:rPr>
          <w:rFonts w:ascii="Arial" w:hAnsi="Arial" w:cs="Arial"/>
          <w:i/>
          <w:iCs/>
        </w:rPr>
        <w:t xml:space="preserve"> </w:t>
      </w:r>
      <w:proofErr w:type="gramStart"/>
      <w:r w:rsidRPr="00FA5B6B">
        <w:rPr>
          <w:rFonts w:ascii="Arial" w:hAnsi="Arial" w:cs="Arial"/>
          <w:i/>
          <w:iCs/>
        </w:rPr>
        <w:t>Hub</w:t>
      </w:r>
      <w:proofErr w:type="gramEnd"/>
      <w:r w:rsidRPr="00E772BB">
        <w:rPr>
          <w:rFonts w:ascii="Arial" w:hAnsi="Arial" w:cs="Arial"/>
        </w:rPr>
        <w:t xml:space="preserve"> irá incorporando próximamente nuevas soluciones, como la huella hídrica para medir y mejorar el impacto medioambiental de la actividad e información meteorológica. Además, al </w:t>
      </w:r>
      <w:proofErr w:type="spellStart"/>
      <w:r w:rsidRPr="004B28D0">
        <w:rPr>
          <w:rFonts w:ascii="Arial" w:hAnsi="Arial" w:cs="Arial"/>
          <w:i/>
          <w:iCs/>
        </w:rPr>
        <w:t>marketplace</w:t>
      </w:r>
      <w:proofErr w:type="spellEnd"/>
      <w:r w:rsidRPr="00E772BB">
        <w:rPr>
          <w:rFonts w:ascii="Arial" w:hAnsi="Arial" w:cs="Arial"/>
        </w:rPr>
        <w:t xml:space="preserve"> se sumarán productos adicionales, como sistemas de seguridad, imagen satelital o </w:t>
      </w:r>
      <w:proofErr w:type="spellStart"/>
      <w:r w:rsidRPr="00E772BB">
        <w:rPr>
          <w:rFonts w:ascii="Arial" w:hAnsi="Arial" w:cs="Arial"/>
        </w:rPr>
        <w:t>sensórica</w:t>
      </w:r>
      <w:proofErr w:type="spellEnd"/>
      <w:r w:rsidRPr="00E772BB">
        <w:rPr>
          <w:rFonts w:ascii="Arial" w:hAnsi="Arial" w:cs="Arial"/>
        </w:rPr>
        <w:t>.</w:t>
      </w:r>
    </w:p>
    <w:p w14:paraId="4A500134" w14:textId="77777777" w:rsidR="009E14B9" w:rsidRPr="000969F5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0969F5">
        <w:rPr>
          <w:rFonts w:ascii="Arial" w:hAnsi="Arial" w:cs="Arial"/>
          <w:b/>
          <w:bCs/>
        </w:rPr>
        <w:t>delanto de la PAC</w:t>
      </w:r>
    </w:p>
    <w:p w14:paraId="7A4B0F10" w14:textId="548DAC8D" w:rsidR="009E14B9" w:rsidRPr="000969F5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0969F5">
        <w:rPr>
          <w:rFonts w:ascii="Arial" w:hAnsi="Arial" w:cs="Arial"/>
        </w:rPr>
        <w:t xml:space="preserve">Además, </w:t>
      </w:r>
      <w:r>
        <w:rPr>
          <w:rFonts w:ascii="Arial" w:hAnsi="Arial" w:cs="Arial"/>
        </w:rPr>
        <w:t xml:space="preserve">como cada ejercicio, en el primer semestre del año </w:t>
      </w:r>
      <w:r w:rsidRPr="000969F5">
        <w:rPr>
          <w:rFonts w:ascii="Arial" w:hAnsi="Arial" w:cs="Arial"/>
        </w:rPr>
        <w:t xml:space="preserve">se puso en marcha la campaña de la PAC </w:t>
      </w:r>
      <w:r>
        <w:rPr>
          <w:rFonts w:ascii="Arial" w:hAnsi="Arial" w:cs="Arial"/>
        </w:rPr>
        <w:t>2024</w:t>
      </w:r>
      <w:r w:rsidRPr="000969F5">
        <w:rPr>
          <w:rFonts w:ascii="Arial" w:hAnsi="Arial" w:cs="Arial"/>
        </w:rPr>
        <w:t xml:space="preserve"> para facilitar la tramitación de las ayudas y adelantar la cuantía de </w:t>
      </w:r>
      <w:proofErr w:type="gramStart"/>
      <w:r w:rsidRPr="000969F5">
        <w:rPr>
          <w:rFonts w:ascii="Arial" w:hAnsi="Arial" w:cs="Arial"/>
        </w:rPr>
        <w:t>las mismas</w:t>
      </w:r>
      <w:proofErr w:type="gramEnd"/>
      <w:r w:rsidRPr="000969F5">
        <w:rPr>
          <w:rFonts w:ascii="Arial" w:hAnsi="Arial" w:cs="Arial"/>
        </w:rPr>
        <w:t xml:space="preserve">, lo que </w:t>
      </w:r>
      <w:r>
        <w:rPr>
          <w:rFonts w:ascii="Arial" w:hAnsi="Arial" w:cs="Arial"/>
        </w:rPr>
        <w:t xml:space="preserve">ha permitido </w:t>
      </w:r>
      <w:r w:rsidRPr="000969F5">
        <w:rPr>
          <w:rFonts w:ascii="Arial" w:hAnsi="Arial" w:cs="Arial"/>
        </w:rPr>
        <w:t>a agricultores y ganaderos disponer de los fondos de manera anticipada.</w:t>
      </w:r>
      <w:r w:rsidR="004150D4">
        <w:rPr>
          <w:rFonts w:ascii="Arial" w:hAnsi="Arial" w:cs="Arial"/>
        </w:rPr>
        <w:t xml:space="preserve"> </w:t>
      </w:r>
    </w:p>
    <w:p w14:paraId="2C8DDD96" w14:textId="77777777" w:rsidR="009E14B9" w:rsidRPr="000969F5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0969F5">
        <w:rPr>
          <w:rFonts w:ascii="Arial" w:hAnsi="Arial" w:cs="Arial"/>
        </w:rPr>
        <w:t xml:space="preserve">Para facilitar y agilizar la gestión de estos préstamos y ayudas, </w:t>
      </w:r>
      <w:proofErr w:type="spellStart"/>
      <w:r w:rsidRPr="000969F5">
        <w:rPr>
          <w:rFonts w:ascii="Arial" w:hAnsi="Arial" w:cs="Arial"/>
        </w:rPr>
        <w:t>AgroBank</w:t>
      </w:r>
      <w:proofErr w:type="spellEnd"/>
      <w:r w:rsidRPr="00096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tenido </w:t>
      </w:r>
      <w:r w:rsidRPr="000969F5">
        <w:rPr>
          <w:rFonts w:ascii="Arial" w:hAnsi="Arial" w:cs="Arial"/>
        </w:rPr>
        <w:t xml:space="preserve">a disposición de sus clientes 7.000 millones de euros en financiación </w:t>
      </w:r>
      <w:proofErr w:type="spellStart"/>
      <w:r w:rsidRPr="000969F5">
        <w:rPr>
          <w:rFonts w:ascii="Arial" w:hAnsi="Arial" w:cs="Arial"/>
        </w:rPr>
        <w:t>preconcedida</w:t>
      </w:r>
      <w:proofErr w:type="spellEnd"/>
      <w:r w:rsidRPr="000969F5">
        <w:rPr>
          <w:rFonts w:ascii="Arial" w:hAnsi="Arial" w:cs="Arial"/>
        </w:rPr>
        <w:t>.</w:t>
      </w:r>
    </w:p>
    <w:p w14:paraId="597A983C" w14:textId="77777777" w:rsidR="009E14B9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7060B">
        <w:rPr>
          <w:rFonts w:ascii="Arial" w:hAnsi="Arial" w:cs="Arial"/>
        </w:rPr>
        <w:t xml:space="preserve">omo complemento a la campaña PAC 2024, </w:t>
      </w:r>
      <w:proofErr w:type="spellStart"/>
      <w:r w:rsidRPr="0037060B">
        <w:rPr>
          <w:rFonts w:ascii="Arial" w:hAnsi="Arial" w:cs="Arial"/>
        </w:rPr>
        <w:t>AgroBank</w:t>
      </w:r>
      <w:proofErr w:type="spellEnd"/>
      <w:r w:rsidRPr="00370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cuenta con un </w:t>
      </w:r>
      <w:r w:rsidRPr="0037060B">
        <w:rPr>
          <w:rFonts w:ascii="Arial" w:hAnsi="Arial" w:cs="Arial"/>
        </w:rPr>
        <w:t xml:space="preserve">catálogo completo de seguros para cubrir cualquier tipo de adversidad, entre los que destacan el Seguro Agrario y los seguros </w:t>
      </w:r>
      <w:proofErr w:type="spellStart"/>
      <w:r w:rsidRPr="0037060B">
        <w:rPr>
          <w:rFonts w:ascii="Arial" w:hAnsi="Arial" w:cs="Arial"/>
        </w:rPr>
        <w:t>Multirriesgos</w:t>
      </w:r>
      <w:proofErr w:type="spellEnd"/>
      <w:r w:rsidRPr="0037060B">
        <w:rPr>
          <w:rFonts w:ascii="Arial" w:hAnsi="Arial" w:cs="Arial"/>
        </w:rPr>
        <w:t xml:space="preserve"> adaptados a cada cultivo y ganado. </w:t>
      </w:r>
      <w:proofErr w:type="spellStart"/>
      <w:r w:rsidRPr="0037060B">
        <w:rPr>
          <w:rFonts w:ascii="Arial" w:hAnsi="Arial" w:cs="Arial"/>
        </w:rPr>
        <w:t>AgroBank</w:t>
      </w:r>
      <w:proofErr w:type="spellEnd"/>
      <w:r w:rsidRPr="0037060B">
        <w:rPr>
          <w:rFonts w:ascii="Arial" w:hAnsi="Arial" w:cs="Arial"/>
        </w:rPr>
        <w:t xml:space="preserve"> es la entidad bancaria líder en seguros agrarios, y refuerza su </w:t>
      </w:r>
      <w:r>
        <w:rPr>
          <w:rFonts w:ascii="Arial" w:hAnsi="Arial" w:cs="Arial"/>
        </w:rPr>
        <w:t xml:space="preserve">apuesta por </w:t>
      </w:r>
      <w:r w:rsidRPr="0037060B">
        <w:rPr>
          <w:rFonts w:ascii="Arial" w:hAnsi="Arial" w:cs="Arial"/>
        </w:rPr>
        <w:t>el sector para velar por la tranquilidad de sus agricultores y ganaderos.</w:t>
      </w:r>
    </w:p>
    <w:p w14:paraId="4F2F2058" w14:textId="77777777" w:rsidR="009E14B9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Apuesta por la innovación y el ámbito rural</w:t>
      </w:r>
    </w:p>
    <w:p w14:paraId="5DF8B50C" w14:textId="77777777" w:rsidR="009E14B9" w:rsidRDefault="009E14B9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  <w:proofErr w:type="spellStart"/>
      <w:r w:rsidRPr="0037060B">
        <w:rPr>
          <w:rFonts w:ascii="Arial" w:hAnsi="Arial" w:cs="Arial"/>
        </w:rPr>
        <w:t>AgroBank</w:t>
      </w:r>
      <w:proofErr w:type="spellEnd"/>
      <w:r w:rsidRPr="0037060B">
        <w:rPr>
          <w:rFonts w:ascii="Arial" w:hAnsi="Arial" w:cs="Arial"/>
        </w:rPr>
        <w:t xml:space="preserve"> considera que uno de los principales retos del sector es el relevo generacional, para lo que ha puesto en marcha junto al </w:t>
      </w:r>
      <w:proofErr w:type="spellStart"/>
      <w:r w:rsidRPr="0037060B">
        <w:rPr>
          <w:rFonts w:ascii="Arial" w:hAnsi="Arial" w:cs="Arial"/>
        </w:rPr>
        <w:t>Basque</w:t>
      </w:r>
      <w:proofErr w:type="spellEnd"/>
      <w:r w:rsidRPr="0037060B">
        <w:rPr>
          <w:rFonts w:ascii="Arial" w:hAnsi="Arial" w:cs="Arial"/>
        </w:rPr>
        <w:t xml:space="preserve"> </w:t>
      </w:r>
      <w:proofErr w:type="spellStart"/>
      <w:r w:rsidRPr="0037060B">
        <w:rPr>
          <w:rFonts w:ascii="Arial" w:hAnsi="Arial" w:cs="Arial"/>
        </w:rPr>
        <w:t>Culinary</w:t>
      </w:r>
      <w:proofErr w:type="spellEnd"/>
      <w:r w:rsidRPr="0037060B">
        <w:rPr>
          <w:rFonts w:ascii="Arial" w:hAnsi="Arial" w:cs="Arial"/>
        </w:rPr>
        <w:t xml:space="preserve"> Center la iniciativa ‘Impulso Agro’, dirigida a visibilizar a jóvenes que, a través de su trabajo y sus proyectos, están contribuyendo a la transformación del sector agroalimentario español. </w:t>
      </w:r>
    </w:p>
    <w:p w14:paraId="29466879" w14:textId="2F3FB354" w:rsidR="009E14B9" w:rsidRPr="0037060B" w:rsidRDefault="009E14B9" w:rsidP="00A1329D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37060B">
        <w:rPr>
          <w:rFonts w:ascii="Arial" w:hAnsi="Arial" w:cs="Arial"/>
        </w:rPr>
        <w:t xml:space="preserve">Del mismo modo, </w:t>
      </w:r>
      <w:proofErr w:type="spellStart"/>
      <w:r w:rsidRPr="0037060B">
        <w:rPr>
          <w:rFonts w:ascii="Arial" w:hAnsi="Arial" w:cs="Arial"/>
        </w:rPr>
        <w:t>AgroBank</w:t>
      </w:r>
      <w:proofErr w:type="spellEnd"/>
      <w:r w:rsidRPr="0037060B">
        <w:rPr>
          <w:rFonts w:ascii="Arial" w:hAnsi="Arial" w:cs="Arial"/>
        </w:rPr>
        <w:t xml:space="preserve"> muestra su apoyo al papel de la mujer rural, a través de distintas iniciativas entre las que destacan el programa de </w:t>
      </w:r>
      <w:proofErr w:type="spellStart"/>
      <w:r w:rsidRPr="00E71B61">
        <w:rPr>
          <w:rFonts w:ascii="Arial" w:hAnsi="Arial" w:cs="Arial"/>
          <w:i/>
          <w:iCs/>
        </w:rPr>
        <w:t>mentoring</w:t>
      </w:r>
      <w:proofErr w:type="spellEnd"/>
      <w:r w:rsidRPr="0037060B">
        <w:rPr>
          <w:rFonts w:ascii="Arial" w:hAnsi="Arial" w:cs="Arial"/>
        </w:rPr>
        <w:t xml:space="preserve"> ‘Crecemos Juntas’ en colaboración </w:t>
      </w:r>
      <w:r w:rsidRPr="0037060B">
        <w:rPr>
          <w:rFonts w:ascii="Arial" w:hAnsi="Arial" w:cs="Arial"/>
        </w:rPr>
        <w:lastRenderedPageBreak/>
        <w:t>con el Ministerio de Agricultura, la Cátedra ‘Mujer, Empresa y Mundo Rural’ con la Universidad de Castilla-La Mancha (UCLM)</w:t>
      </w:r>
      <w:r w:rsidR="00A1329D">
        <w:rPr>
          <w:rFonts w:ascii="Arial" w:hAnsi="Arial" w:cs="Arial"/>
        </w:rPr>
        <w:t xml:space="preserve"> o la colaboración </w:t>
      </w:r>
      <w:r w:rsidR="000C546C">
        <w:rPr>
          <w:rFonts w:ascii="Arial" w:hAnsi="Arial" w:cs="Arial"/>
        </w:rPr>
        <w:t xml:space="preserve">de </w:t>
      </w:r>
      <w:proofErr w:type="spellStart"/>
      <w:r w:rsidR="00A1329D">
        <w:rPr>
          <w:rFonts w:ascii="Arial" w:hAnsi="Arial" w:cs="Arial"/>
        </w:rPr>
        <w:t>AgroBank</w:t>
      </w:r>
      <w:proofErr w:type="spellEnd"/>
      <w:r w:rsidR="00A1329D">
        <w:rPr>
          <w:rFonts w:ascii="Arial" w:hAnsi="Arial" w:cs="Arial"/>
        </w:rPr>
        <w:t xml:space="preserve"> con las principales asociaciones de mujeres rurales </w:t>
      </w:r>
      <w:r w:rsidR="00966BCF">
        <w:rPr>
          <w:rFonts w:ascii="Arial" w:hAnsi="Arial" w:cs="Arial"/>
        </w:rPr>
        <w:t xml:space="preserve">de España </w:t>
      </w:r>
      <w:r w:rsidR="00A1329D">
        <w:rPr>
          <w:rFonts w:ascii="Arial" w:hAnsi="Arial" w:cs="Arial"/>
        </w:rPr>
        <w:t>(</w:t>
      </w:r>
      <w:r w:rsidR="00A1329D" w:rsidRPr="00A1329D">
        <w:rPr>
          <w:rFonts w:ascii="Arial" w:hAnsi="Arial" w:cs="Arial"/>
        </w:rPr>
        <w:t xml:space="preserve">Afammer, </w:t>
      </w:r>
      <w:proofErr w:type="spellStart"/>
      <w:r w:rsidR="00A1329D" w:rsidRPr="00A1329D">
        <w:rPr>
          <w:rFonts w:ascii="Arial" w:hAnsi="Arial" w:cs="Arial"/>
        </w:rPr>
        <w:t>Fademur</w:t>
      </w:r>
      <w:proofErr w:type="spellEnd"/>
      <w:r w:rsidR="00A1329D" w:rsidRPr="00A1329D">
        <w:rPr>
          <w:rFonts w:ascii="Arial" w:hAnsi="Arial" w:cs="Arial"/>
        </w:rPr>
        <w:t xml:space="preserve"> y </w:t>
      </w:r>
      <w:proofErr w:type="spellStart"/>
      <w:r w:rsidR="00A1329D" w:rsidRPr="00A1329D">
        <w:rPr>
          <w:rFonts w:ascii="Arial" w:hAnsi="Arial" w:cs="Arial"/>
        </w:rPr>
        <w:t>Amcae</w:t>
      </w:r>
      <w:proofErr w:type="spellEnd"/>
      <w:r w:rsidR="00A1329D">
        <w:rPr>
          <w:rFonts w:ascii="Arial" w:hAnsi="Arial" w:cs="Arial"/>
        </w:rPr>
        <w:t xml:space="preserve">), </w:t>
      </w:r>
      <w:r w:rsidR="00A1329D" w:rsidRPr="00A1329D">
        <w:rPr>
          <w:rFonts w:ascii="Arial" w:hAnsi="Arial" w:cs="Arial"/>
        </w:rPr>
        <w:t>con l</w:t>
      </w:r>
      <w:r w:rsidR="00A1329D">
        <w:rPr>
          <w:rFonts w:ascii="Arial" w:hAnsi="Arial" w:cs="Arial"/>
        </w:rPr>
        <w:t>a</w:t>
      </w:r>
      <w:r w:rsidR="00A1329D" w:rsidRPr="00A1329D">
        <w:rPr>
          <w:rFonts w:ascii="Arial" w:hAnsi="Arial" w:cs="Arial"/>
        </w:rPr>
        <w:t xml:space="preserve"> que la entidad pone </w:t>
      </w:r>
      <w:r w:rsidR="00A1329D">
        <w:rPr>
          <w:rFonts w:ascii="Arial" w:hAnsi="Arial" w:cs="Arial"/>
        </w:rPr>
        <w:t xml:space="preserve">a </w:t>
      </w:r>
      <w:r w:rsidR="00A1329D" w:rsidRPr="00A1329D">
        <w:rPr>
          <w:rFonts w:ascii="Arial" w:hAnsi="Arial" w:cs="Arial"/>
        </w:rPr>
        <w:t>disposición de todas las asociadas una amplia oferta de productos y servicios financieros específicos para facilitarles que puedan hacer realidad sus proyectos.</w:t>
      </w:r>
    </w:p>
    <w:p w14:paraId="0A5D8EC5" w14:textId="7BA39A00" w:rsidR="000C546C" w:rsidRDefault="009E14B9" w:rsidP="000C546C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37060B">
        <w:rPr>
          <w:rFonts w:ascii="Arial" w:hAnsi="Arial" w:cs="Arial"/>
        </w:rPr>
        <w:t>Además, la entidad tiene un fuerte compromiso con la sostenibilidad y la digitalización del sector, con el objetivo de impulsar su transformación. En este sentido, ha lanzado la segunda edición de ‘</w:t>
      </w:r>
      <w:proofErr w:type="spellStart"/>
      <w:r w:rsidRPr="0037060B">
        <w:rPr>
          <w:rFonts w:ascii="Arial" w:hAnsi="Arial" w:cs="Arial"/>
        </w:rPr>
        <w:t>AgroBank</w:t>
      </w:r>
      <w:proofErr w:type="spellEnd"/>
      <w:r w:rsidRPr="0037060B">
        <w:rPr>
          <w:rFonts w:ascii="Arial" w:hAnsi="Arial" w:cs="Arial"/>
        </w:rPr>
        <w:t xml:space="preserve"> </w:t>
      </w:r>
      <w:proofErr w:type="spellStart"/>
      <w:r w:rsidRPr="0037060B">
        <w:rPr>
          <w:rFonts w:ascii="Arial" w:hAnsi="Arial" w:cs="Arial"/>
        </w:rPr>
        <w:t>Tech</w:t>
      </w:r>
      <w:proofErr w:type="spellEnd"/>
      <w:r w:rsidRPr="0037060B">
        <w:rPr>
          <w:rFonts w:ascii="Arial" w:hAnsi="Arial" w:cs="Arial"/>
        </w:rPr>
        <w:t xml:space="preserve"> Digital </w:t>
      </w:r>
      <w:proofErr w:type="spellStart"/>
      <w:r w:rsidRPr="0037060B">
        <w:rPr>
          <w:rFonts w:ascii="Arial" w:hAnsi="Arial" w:cs="Arial"/>
        </w:rPr>
        <w:t>INNovation</w:t>
      </w:r>
      <w:proofErr w:type="spellEnd"/>
      <w:r w:rsidRPr="0037060B">
        <w:rPr>
          <w:rFonts w:ascii="Arial" w:hAnsi="Arial" w:cs="Arial"/>
        </w:rPr>
        <w:t xml:space="preserve">’, un programa de aceleración de </w:t>
      </w:r>
      <w:r w:rsidRPr="0037060B">
        <w:rPr>
          <w:rFonts w:ascii="Arial" w:hAnsi="Arial" w:cs="Arial"/>
          <w:i/>
          <w:iCs/>
        </w:rPr>
        <w:t>startups</w:t>
      </w:r>
      <w:r w:rsidRPr="0037060B">
        <w:rPr>
          <w:rFonts w:ascii="Arial" w:hAnsi="Arial" w:cs="Arial"/>
        </w:rPr>
        <w:t xml:space="preserve"> para el sector agroalimentario. Con esta iniciativa</w:t>
      </w:r>
      <w:r w:rsidR="00A1329D">
        <w:rPr>
          <w:rFonts w:ascii="Arial" w:hAnsi="Arial" w:cs="Arial"/>
        </w:rPr>
        <w:t xml:space="preserve"> </w:t>
      </w:r>
      <w:r w:rsidRPr="0037060B">
        <w:rPr>
          <w:rFonts w:ascii="Arial" w:hAnsi="Arial" w:cs="Arial"/>
        </w:rPr>
        <w:t>la entidad se posiciona como el principal referente para ofrecer al sector soluciones tecnológicas.</w:t>
      </w:r>
      <w:bookmarkEnd w:id="0"/>
    </w:p>
    <w:p w14:paraId="76F40AF3" w14:textId="19DEBFC5" w:rsidR="000C546C" w:rsidRPr="000C546C" w:rsidRDefault="000C546C" w:rsidP="000C546C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ello se une la </w:t>
      </w:r>
      <w:r w:rsidRPr="000C546C">
        <w:rPr>
          <w:rFonts w:ascii="Arial" w:hAnsi="Arial" w:cs="Arial"/>
        </w:rPr>
        <w:t xml:space="preserve">Cátedra </w:t>
      </w:r>
      <w:r>
        <w:rPr>
          <w:rFonts w:ascii="Arial" w:hAnsi="Arial" w:cs="Arial"/>
        </w:rPr>
        <w:t>‘</w:t>
      </w:r>
      <w:r w:rsidRPr="000C546C">
        <w:rPr>
          <w:rFonts w:ascii="Arial" w:hAnsi="Arial" w:cs="Arial"/>
        </w:rPr>
        <w:t>Calidad e Innovación en el sector agroalimentario</w:t>
      </w:r>
      <w:r>
        <w:rPr>
          <w:rFonts w:ascii="Arial" w:hAnsi="Arial" w:cs="Arial"/>
        </w:rPr>
        <w:t xml:space="preserve">’ de </w:t>
      </w:r>
      <w:proofErr w:type="spellStart"/>
      <w:r>
        <w:rPr>
          <w:rFonts w:ascii="Arial" w:hAnsi="Arial" w:cs="Arial"/>
        </w:rPr>
        <w:t>AgroBank</w:t>
      </w:r>
      <w:proofErr w:type="spellEnd"/>
      <w:r>
        <w:rPr>
          <w:rFonts w:ascii="Arial" w:hAnsi="Arial" w:cs="Arial"/>
        </w:rPr>
        <w:t xml:space="preserve"> y la </w:t>
      </w:r>
      <w:proofErr w:type="spellStart"/>
      <w:r>
        <w:rPr>
          <w:rFonts w:ascii="Arial" w:hAnsi="Arial" w:cs="Arial"/>
        </w:rPr>
        <w:t>Universitat</w:t>
      </w:r>
      <w:proofErr w:type="spellEnd"/>
      <w:r>
        <w:rPr>
          <w:rFonts w:ascii="Arial" w:hAnsi="Arial" w:cs="Arial"/>
        </w:rPr>
        <w:t xml:space="preserve"> de Lleida (</w:t>
      </w:r>
      <w:proofErr w:type="spellStart"/>
      <w:r>
        <w:rPr>
          <w:rFonts w:ascii="Arial" w:hAnsi="Arial" w:cs="Arial"/>
        </w:rPr>
        <w:t>UdL</w:t>
      </w:r>
      <w:proofErr w:type="spellEnd"/>
      <w:r>
        <w:rPr>
          <w:rFonts w:ascii="Arial" w:hAnsi="Arial" w:cs="Arial"/>
        </w:rPr>
        <w:t xml:space="preserve">), que tiene como objetivo </w:t>
      </w:r>
      <w:r w:rsidRPr="000C546C">
        <w:rPr>
          <w:rFonts w:ascii="Arial" w:hAnsi="Arial" w:cs="Arial"/>
        </w:rPr>
        <w:t>poner al alcance de la sociedad nueva</w:t>
      </w:r>
      <w:r>
        <w:rPr>
          <w:rFonts w:ascii="Arial" w:hAnsi="Arial" w:cs="Arial"/>
        </w:rPr>
        <w:t>s</w:t>
      </w:r>
      <w:r w:rsidRPr="000C546C">
        <w:rPr>
          <w:rFonts w:ascii="Arial" w:hAnsi="Arial" w:cs="Arial"/>
        </w:rPr>
        <w:t xml:space="preserve"> herramienta</w:t>
      </w:r>
      <w:r>
        <w:rPr>
          <w:rFonts w:ascii="Arial" w:hAnsi="Arial" w:cs="Arial"/>
        </w:rPr>
        <w:t>s</w:t>
      </w:r>
      <w:r w:rsidRPr="000C546C">
        <w:rPr>
          <w:rFonts w:ascii="Arial" w:hAnsi="Arial" w:cs="Arial"/>
        </w:rPr>
        <w:t xml:space="preserve"> para promover la calidad y la innovación en el ámbito agroalimentario</w:t>
      </w:r>
      <w:r>
        <w:rPr>
          <w:rFonts w:ascii="Arial" w:hAnsi="Arial" w:cs="Arial"/>
        </w:rPr>
        <w:t xml:space="preserve">. </w:t>
      </w:r>
    </w:p>
    <w:p w14:paraId="26F20EDF" w14:textId="77777777" w:rsidR="000C546C" w:rsidRPr="0037060B" w:rsidRDefault="000C546C" w:rsidP="009E14B9">
      <w:pPr>
        <w:spacing w:line="276" w:lineRule="auto"/>
        <w:ind w:left="-426" w:right="-568"/>
        <w:jc w:val="both"/>
        <w:rPr>
          <w:rFonts w:ascii="Arial" w:hAnsi="Arial" w:cs="Arial"/>
        </w:rPr>
      </w:pPr>
    </w:p>
    <w:p w14:paraId="447C01A9" w14:textId="76DFA2DF" w:rsidR="00E6220D" w:rsidRPr="009E14B9" w:rsidRDefault="00E6220D" w:rsidP="009E14B9"/>
    <w:sectPr w:rsidR="00E6220D" w:rsidRPr="009E14B9" w:rsidSect="00A453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701" w:bottom="226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8B07" w14:textId="77777777" w:rsidR="009D49E6" w:rsidRDefault="009D49E6" w:rsidP="001E4FCE">
      <w:pPr>
        <w:spacing w:after="0" w:line="240" w:lineRule="auto"/>
      </w:pPr>
      <w:r>
        <w:separator/>
      </w:r>
    </w:p>
  </w:endnote>
  <w:endnote w:type="continuationSeparator" w:id="0">
    <w:p w14:paraId="18D5CDC0" w14:textId="77777777" w:rsidR="009D49E6" w:rsidRDefault="009D49E6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AAB3" w14:textId="77777777" w:rsidR="007A5ED5" w:rsidRDefault="007A5E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5C183098" w:rsidR="008F0D64" w:rsidRPr="00B60236" w:rsidRDefault="00DB0385" w:rsidP="009D0564">
    <w:pPr>
      <w:pStyle w:val="Piedepgin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67D7E3" wp14:editId="68D9C0CC">
          <wp:simplePos x="0" y="0"/>
          <wp:positionH relativeFrom="column">
            <wp:posOffset>896633</wp:posOffset>
          </wp:positionH>
          <wp:positionV relativeFrom="page">
            <wp:posOffset>9385300</wp:posOffset>
          </wp:positionV>
          <wp:extent cx="5108027" cy="8229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027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016C3DAB">
              <wp:simplePos x="0" y="0"/>
              <wp:positionH relativeFrom="page">
                <wp:posOffset>555625</wp:posOffset>
              </wp:positionH>
              <wp:positionV relativeFrom="paragraph">
                <wp:posOffset>-382905</wp:posOffset>
              </wp:positionV>
              <wp:extent cx="1466850" cy="1404620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5955BF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75pt;margin-top:-30.15pt;width:11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00000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461880F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</w:p>
  <w:p w14:paraId="5C56A361" w14:textId="1499779E" w:rsidR="00D040E1" w:rsidRDefault="005955BF" w:rsidP="00DB0385">
    <w:pPr>
      <w:pStyle w:val="Piedepgina"/>
      <w:tabs>
        <w:tab w:val="clear" w:pos="4252"/>
        <w:tab w:val="clear" w:pos="8504"/>
        <w:tab w:val="left" w:pos="5882"/>
      </w:tabs>
      <w:ind w:left="9204"/>
      <w:jc w:val="right"/>
    </w:pP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DB0385" w:rsidRPr="00B60236">
          <w:rPr>
            <w:rFonts w:ascii="Arial" w:hAnsi="Arial" w:cs="Arial"/>
            <w:sz w:val="16"/>
            <w:szCs w:val="16"/>
          </w:rPr>
          <w:fldChar w:fldCharType="begin"/>
        </w:r>
        <w:r w:rsidR="00DB0385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DB0385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DB0385">
          <w:rPr>
            <w:rFonts w:ascii="Arial" w:hAnsi="Arial" w:cs="Arial"/>
            <w:sz w:val="16"/>
            <w:szCs w:val="16"/>
          </w:rPr>
          <w:t>1</w:t>
        </w:r>
        <w:r w:rsidR="00DB0385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C010B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F3E4" w14:textId="77777777" w:rsidR="007A5ED5" w:rsidRDefault="007A5E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DE9E" w14:textId="77777777" w:rsidR="009D49E6" w:rsidRDefault="009D49E6" w:rsidP="001E4FCE">
      <w:pPr>
        <w:spacing w:after="0" w:line="240" w:lineRule="auto"/>
      </w:pPr>
      <w:r>
        <w:separator/>
      </w:r>
    </w:p>
  </w:footnote>
  <w:footnote w:type="continuationSeparator" w:id="0">
    <w:p w14:paraId="6F8F2140" w14:textId="77777777" w:rsidR="009D49E6" w:rsidRDefault="009D49E6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1536" w14:textId="77777777" w:rsidR="007A5ED5" w:rsidRDefault="007A5E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079CF501" w:rsidR="001E4FCE" w:rsidRDefault="00B6023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29C86F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1A479489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37D4" w14:textId="77777777" w:rsidR="007A5ED5" w:rsidRDefault="007A5E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11F9B"/>
    <w:rsid w:val="000238CD"/>
    <w:rsid w:val="00051CF6"/>
    <w:rsid w:val="0006627E"/>
    <w:rsid w:val="000906F9"/>
    <w:rsid w:val="000C546C"/>
    <w:rsid w:val="000D0614"/>
    <w:rsid w:val="000E073A"/>
    <w:rsid w:val="000E18E9"/>
    <w:rsid w:val="001131AA"/>
    <w:rsid w:val="0011769A"/>
    <w:rsid w:val="0014220F"/>
    <w:rsid w:val="00142273"/>
    <w:rsid w:val="00154307"/>
    <w:rsid w:val="00174D71"/>
    <w:rsid w:val="001842F6"/>
    <w:rsid w:val="0018584B"/>
    <w:rsid w:val="001C0D47"/>
    <w:rsid w:val="001D4F30"/>
    <w:rsid w:val="001E4FCE"/>
    <w:rsid w:val="001F5497"/>
    <w:rsid w:val="0023518F"/>
    <w:rsid w:val="002876AF"/>
    <w:rsid w:val="002F01A1"/>
    <w:rsid w:val="003C09A3"/>
    <w:rsid w:val="003C2503"/>
    <w:rsid w:val="003C2C20"/>
    <w:rsid w:val="004150D4"/>
    <w:rsid w:val="00481FEA"/>
    <w:rsid w:val="004B28D0"/>
    <w:rsid w:val="005955BF"/>
    <w:rsid w:val="005B3D52"/>
    <w:rsid w:val="005F6FD3"/>
    <w:rsid w:val="00601423"/>
    <w:rsid w:val="00610FC3"/>
    <w:rsid w:val="00671C95"/>
    <w:rsid w:val="00672CE4"/>
    <w:rsid w:val="006C45A5"/>
    <w:rsid w:val="007A5ED5"/>
    <w:rsid w:val="00856A41"/>
    <w:rsid w:val="008A6E10"/>
    <w:rsid w:val="008F0D64"/>
    <w:rsid w:val="008F3769"/>
    <w:rsid w:val="00966BCF"/>
    <w:rsid w:val="00973980"/>
    <w:rsid w:val="009C181D"/>
    <w:rsid w:val="009D0564"/>
    <w:rsid w:val="009D49E6"/>
    <w:rsid w:val="009D5DB6"/>
    <w:rsid w:val="009E14B9"/>
    <w:rsid w:val="00A1329D"/>
    <w:rsid w:val="00A453ED"/>
    <w:rsid w:val="00AB275F"/>
    <w:rsid w:val="00B210C0"/>
    <w:rsid w:val="00B60236"/>
    <w:rsid w:val="00B66EDB"/>
    <w:rsid w:val="00BC5966"/>
    <w:rsid w:val="00BC601B"/>
    <w:rsid w:val="00C010B8"/>
    <w:rsid w:val="00C16C70"/>
    <w:rsid w:val="00CC1975"/>
    <w:rsid w:val="00D040E1"/>
    <w:rsid w:val="00D46922"/>
    <w:rsid w:val="00DA0828"/>
    <w:rsid w:val="00DB0385"/>
    <w:rsid w:val="00E101FD"/>
    <w:rsid w:val="00E6220D"/>
    <w:rsid w:val="00E71B61"/>
    <w:rsid w:val="00E84304"/>
    <w:rsid w:val="00E87064"/>
    <w:rsid w:val="00E95E9D"/>
    <w:rsid w:val="00EC4734"/>
    <w:rsid w:val="00F5329B"/>
    <w:rsid w:val="00F618FD"/>
    <w:rsid w:val="00FA4564"/>
    <w:rsid w:val="00FA716A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E14B9"/>
  </w:style>
  <w:style w:type="character" w:customStyle="1" w:styleId="eop">
    <w:name w:val="eop"/>
    <w:basedOn w:val="Fuentedeprrafopredeter"/>
    <w:rsid w:val="009E14B9"/>
  </w:style>
  <w:style w:type="character" w:styleId="Refdecomentario">
    <w:name w:val="annotation reference"/>
    <w:basedOn w:val="Fuentedeprrafopredeter"/>
    <w:uiPriority w:val="99"/>
    <w:semiHidden/>
    <w:unhideWhenUsed/>
    <w:rsid w:val="009C18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8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8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8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b156f-028c-496d-8b51-ac6e6ae7a1b8" xsi:nil="true"/>
    <lcf76f155ced4ddcb4097134ff3c332f xmlns="a25d1351-4ae6-4ea3-816d-b7208937a0d7">
      <Terms xmlns="http://schemas.microsoft.com/office/infopath/2007/PartnerControls"/>
    </lcf76f155ced4ddcb4097134ff3c332f>
    <_x0032_022Fotooficialaprobada xmlns="a25d1351-4ae6-4ea3-816d-b7208937a0d7" xsi:nil="true"/>
    <_x0030_1SSCC xmlns="a25d1351-4ae6-4ea3-816d-b7208937a0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9E582DEE69244A9849AF4EF7585F1" ma:contentTypeVersion="20" ma:contentTypeDescription="Crear nuevo documento." ma:contentTypeScope="" ma:versionID="01ababd8932a5fef6cb1b2ce3f9b4ed2">
  <xsd:schema xmlns:xsd="http://www.w3.org/2001/XMLSchema" xmlns:xs="http://www.w3.org/2001/XMLSchema" xmlns:p="http://schemas.microsoft.com/office/2006/metadata/properties" xmlns:ns2="a25d1351-4ae6-4ea3-816d-b7208937a0d7" xmlns:ns3="7f2b156f-028c-496d-8b51-ac6e6ae7a1b8" targetNamespace="http://schemas.microsoft.com/office/2006/metadata/properties" ma:root="true" ma:fieldsID="9aefb7313e112fd92b02265d8b1affa4" ns2:_="" ns3:_="">
    <xsd:import namespace="a25d1351-4ae6-4ea3-816d-b7208937a0d7"/>
    <xsd:import namespace="7f2b156f-028c-496d-8b51-ac6e6ae7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0032_022Fotooficialaprobada" minOccurs="0"/>
                <xsd:element ref="ns2:MediaServiceObjectDetectorVersions" minOccurs="0"/>
                <xsd:element ref="ns2:MediaServiceSearchProperties" minOccurs="0"/>
                <xsd:element ref="ns2:_x0030_1SSC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d1351-4ae6-4ea3-816d-b7208937a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bd88258-876d-47aa-8492-218c1c300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2_022Fotooficialaprobada" ma:index="24" nillable="true" ma:displayName="2022 Foto oficial aprobada" ma:format="Dropdown" ma:internalName="_x0032_022Fotooficialaprobada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0_1SSCC" ma:index="27" nillable="true" ma:displayName="01 SSCC" ma:format="Dropdown" ma:internalName="_x0030_1SSC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156f-028c-496d-8b51-ac6e6ae7a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cca888-2da8-41ff-afd3-e8e90b4f666a}" ma:internalName="TaxCatchAll" ma:showField="CatchAllData" ma:web="7f2b156f-028c-496d-8b51-ac6e6ae7a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373B3-762D-438B-9AB0-3E5D246AF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700AD-B102-4D25-8DB5-D6B1B02B057E}">
  <ds:schemaRefs>
    <ds:schemaRef ds:uri="http://schemas.microsoft.com/office/2006/metadata/properties"/>
    <ds:schemaRef ds:uri="http://schemas.microsoft.com/office/infopath/2007/PartnerControls"/>
    <ds:schemaRef ds:uri="7f2b156f-028c-496d-8b51-ac6e6ae7a1b8"/>
    <ds:schemaRef ds:uri="a25d1351-4ae6-4ea3-816d-b7208937a0d7"/>
  </ds:schemaRefs>
</ds:datastoreItem>
</file>

<file path=customXml/itemProps3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0CC262-71C0-4ECC-9217-4EE8B99FA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d1351-4ae6-4ea3-816d-b7208937a0d7"/>
    <ds:schemaRef ds:uri="7f2b156f-028c-496d-8b51-ac6e6ae7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IRENE RIVAS GARCIA</cp:lastModifiedBy>
  <cp:revision>9</cp:revision>
  <dcterms:created xsi:type="dcterms:W3CDTF">2024-07-23T11:59:00Z</dcterms:created>
  <dcterms:modified xsi:type="dcterms:W3CDTF">2024-07-25T23:09:00Z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  <property fmtid="{D5CDD505-2E9C-101B-9397-08002B2CF9AE}" pid="9" name="ContentTypeId">
    <vt:lpwstr>0x0101006B19E582DEE69244A9849AF4EF7585F1</vt:lpwstr>
  </property>
</Properties>
</file>