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DEBCC1" w14:textId="77777777" w:rsidR="00B40A97" w:rsidRDefault="00B40A97" w:rsidP="00B40A97">
      <w:pPr>
        <w:jc w:val="center"/>
        <w:rPr>
          <w:rFonts w:ascii="Arial" w:hAnsi="Arial"/>
          <w:bCs/>
          <w:color w:val="7F7F7F" w:themeColor="text1" w:themeTint="80"/>
          <w:sz w:val="18"/>
          <w:szCs w:val="18"/>
        </w:rPr>
      </w:pPr>
    </w:p>
    <w:p w14:paraId="74E5800D" w14:textId="0BEE5926" w:rsidR="00B40A97" w:rsidRPr="00631D6E" w:rsidRDefault="00B40A97" w:rsidP="00B40A97">
      <w:pPr>
        <w:jc w:val="center"/>
        <w:rPr>
          <w:rFonts w:ascii="Arial" w:hAnsi="Arial" w:cs="Arial"/>
          <w:bCs/>
          <w:color w:val="7F7F7F" w:themeColor="text1" w:themeTint="80"/>
          <w:sz w:val="18"/>
          <w:szCs w:val="18"/>
        </w:rPr>
      </w:pPr>
      <w:r w:rsidRPr="00631D6E">
        <w:rPr>
          <w:rFonts w:ascii="Arial" w:hAnsi="Arial"/>
          <w:bCs/>
          <w:color w:val="7F7F7F" w:themeColor="text1" w:themeTint="80"/>
          <w:sz w:val="18"/>
          <w:szCs w:val="18"/>
        </w:rPr>
        <w:t xml:space="preserve">Con la colaboración </w:t>
      </w:r>
      <w:r>
        <w:rPr>
          <w:rFonts w:ascii="Arial" w:hAnsi="Arial"/>
          <w:bCs/>
          <w:color w:val="7F7F7F" w:themeColor="text1" w:themeTint="80"/>
          <w:sz w:val="18"/>
          <w:szCs w:val="18"/>
        </w:rPr>
        <w:t>del Departamento</w:t>
      </w:r>
      <w:r w:rsidRPr="00631D6E">
        <w:rPr>
          <w:rFonts w:ascii="Arial" w:hAnsi="Arial"/>
          <w:bCs/>
          <w:color w:val="7F7F7F" w:themeColor="text1" w:themeTint="80"/>
          <w:sz w:val="18"/>
          <w:szCs w:val="18"/>
        </w:rPr>
        <w:t xml:space="preserve"> de Educación, </w:t>
      </w:r>
      <w:r>
        <w:rPr>
          <w:rFonts w:ascii="Arial" w:hAnsi="Arial"/>
          <w:bCs/>
          <w:color w:val="7F7F7F" w:themeColor="text1" w:themeTint="80"/>
          <w:sz w:val="18"/>
          <w:szCs w:val="18"/>
        </w:rPr>
        <w:t>Ciencia y Universidades</w:t>
      </w:r>
      <w:r w:rsidRPr="00631D6E">
        <w:rPr>
          <w:rFonts w:ascii="Arial" w:hAnsi="Arial"/>
          <w:bCs/>
          <w:color w:val="7F7F7F" w:themeColor="text1" w:themeTint="80"/>
          <w:sz w:val="18"/>
          <w:szCs w:val="18"/>
        </w:rPr>
        <w:t xml:space="preserve"> del Gobierno de Aragón</w:t>
      </w:r>
      <w:r w:rsidRPr="00631D6E">
        <w:rPr>
          <w:rFonts w:ascii="Arial" w:hAnsi="Arial" w:cs="Arial"/>
          <w:bCs/>
          <w:color w:val="7F7F7F" w:themeColor="text1" w:themeTint="80"/>
          <w:sz w:val="18"/>
          <w:szCs w:val="18"/>
        </w:rPr>
        <w:t xml:space="preserve"> </w:t>
      </w:r>
    </w:p>
    <w:p w14:paraId="581EB9F5" w14:textId="28521DF8" w:rsidR="00713EAD" w:rsidRDefault="003B7EEE">
      <w:pPr>
        <w:spacing w:before="240" w:line="276" w:lineRule="auto"/>
        <w:jc w:val="center"/>
        <w:rPr>
          <w:rFonts w:ascii="Arial" w:eastAsia="Arial" w:hAnsi="Arial" w:cs="Arial"/>
          <w:b/>
          <w:color w:val="00B0F0"/>
          <w:sz w:val="32"/>
          <w:szCs w:val="32"/>
        </w:rPr>
      </w:pPr>
      <w:r>
        <w:rPr>
          <w:rFonts w:ascii="Arial" w:eastAsia="Arial" w:hAnsi="Arial" w:cs="Arial"/>
          <w:b/>
          <w:color w:val="00B0F0"/>
          <w:sz w:val="32"/>
          <w:szCs w:val="32"/>
        </w:rPr>
        <w:t>Voluntariado CaixaBank y el IEF forman a más de 6</w:t>
      </w:r>
      <w:r w:rsidR="00BA3029">
        <w:rPr>
          <w:rFonts w:ascii="Arial" w:eastAsia="Arial" w:hAnsi="Arial" w:cs="Arial"/>
          <w:b/>
          <w:color w:val="00B0F0"/>
          <w:sz w:val="32"/>
          <w:szCs w:val="32"/>
        </w:rPr>
        <w:t>5</w:t>
      </w:r>
      <w:r>
        <w:rPr>
          <w:rFonts w:ascii="Arial" w:eastAsia="Arial" w:hAnsi="Arial" w:cs="Arial"/>
          <w:b/>
          <w:color w:val="00B0F0"/>
          <w:sz w:val="32"/>
          <w:szCs w:val="32"/>
        </w:rPr>
        <w:t>0 jóvenes aragoneses en cultura financiera básica</w:t>
      </w:r>
    </w:p>
    <w:p w14:paraId="2DD0DD12" w14:textId="77777777" w:rsidR="00713EAD" w:rsidRDefault="003B7EEE">
      <w:pPr>
        <w:numPr>
          <w:ilvl w:val="0"/>
          <w:numId w:val="1"/>
        </w:numPr>
        <w:pBdr>
          <w:top w:val="nil"/>
          <w:left w:val="nil"/>
          <w:bottom w:val="nil"/>
          <w:right w:val="nil"/>
          <w:between w:val="nil"/>
        </w:pBdr>
        <w:spacing w:before="240" w:line="360" w:lineRule="auto"/>
        <w:ind w:left="567" w:hanging="283"/>
        <w:jc w:val="both"/>
        <w:rPr>
          <w:rFonts w:ascii="Arial" w:eastAsia="Arial" w:hAnsi="Arial" w:cs="Arial"/>
          <w:b/>
          <w:color w:val="000000"/>
          <w:sz w:val="24"/>
          <w:szCs w:val="24"/>
        </w:rPr>
      </w:pPr>
      <w:r>
        <w:rPr>
          <w:rFonts w:ascii="Arial" w:eastAsia="Arial" w:hAnsi="Arial" w:cs="Arial"/>
          <w:b/>
          <w:color w:val="000000"/>
          <w:sz w:val="24"/>
          <w:szCs w:val="24"/>
        </w:rPr>
        <w:t xml:space="preserve">La VII edición del programa en </w:t>
      </w:r>
      <w:r>
        <w:rPr>
          <w:rFonts w:ascii="Arial" w:eastAsia="Arial" w:hAnsi="Arial" w:cs="Arial"/>
          <w:b/>
          <w:sz w:val="24"/>
          <w:szCs w:val="24"/>
        </w:rPr>
        <w:t>Aragón</w:t>
      </w:r>
      <w:r>
        <w:rPr>
          <w:rFonts w:ascii="Arial" w:eastAsia="Arial" w:hAnsi="Arial" w:cs="Arial"/>
          <w:b/>
          <w:color w:val="000000"/>
          <w:sz w:val="24"/>
          <w:szCs w:val="24"/>
        </w:rPr>
        <w:t xml:space="preserve"> ha finalizado con un total de</w:t>
      </w:r>
      <w:r>
        <w:rPr>
          <w:rFonts w:ascii="Arial" w:eastAsia="Arial" w:hAnsi="Arial" w:cs="Arial"/>
          <w:b/>
          <w:sz w:val="24"/>
          <w:szCs w:val="24"/>
        </w:rPr>
        <w:t xml:space="preserve"> 101 </w:t>
      </w:r>
      <w:r>
        <w:rPr>
          <w:rFonts w:ascii="Arial" w:eastAsia="Arial" w:hAnsi="Arial" w:cs="Arial"/>
          <w:b/>
          <w:color w:val="000000"/>
          <w:sz w:val="24"/>
          <w:szCs w:val="24"/>
        </w:rPr>
        <w:t>talleres realizados por estudiantes de 4º de ESO</w:t>
      </w:r>
    </w:p>
    <w:p w14:paraId="40BDD90D" w14:textId="77777777" w:rsidR="00713EAD" w:rsidRDefault="003B7EEE">
      <w:pPr>
        <w:numPr>
          <w:ilvl w:val="0"/>
          <w:numId w:val="1"/>
        </w:numPr>
        <w:pBdr>
          <w:top w:val="nil"/>
          <w:left w:val="nil"/>
          <w:bottom w:val="nil"/>
          <w:right w:val="nil"/>
          <w:between w:val="nil"/>
        </w:pBdr>
        <w:spacing w:line="360" w:lineRule="auto"/>
        <w:ind w:left="567" w:hanging="283"/>
        <w:jc w:val="both"/>
        <w:rPr>
          <w:rFonts w:ascii="Arial" w:eastAsia="Arial" w:hAnsi="Arial" w:cs="Arial"/>
          <w:b/>
          <w:color w:val="000000"/>
          <w:sz w:val="24"/>
          <w:szCs w:val="24"/>
        </w:rPr>
      </w:pPr>
      <w:r>
        <w:rPr>
          <w:rFonts w:ascii="Arial" w:eastAsia="Arial" w:hAnsi="Arial" w:cs="Arial"/>
          <w:b/>
          <w:color w:val="000000"/>
          <w:sz w:val="24"/>
          <w:szCs w:val="24"/>
        </w:rPr>
        <w:t>Un total de 1</w:t>
      </w:r>
      <w:r>
        <w:rPr>
          <w:rFonts w:ascii="Arial" w:eastAsia="Arial" w:hAnsi="Arial" w:cs="Arial"/>
          <w:b/>
          <w:sz w:val="24"/>
          <w:szCs w:val="24"/>
        </w:rPr>
        <w:t>3</w:t>
      </w:r>
      <w:r>
        <w:rPr>
          <w:rFonts w:ascii="Arial" w:eastAsia="Arial" w:hAnsi="Arial" w:cs="Arial"/>
          <w:b/>
          <w:color w:val="000000"/>
          <w:sz w:val="24"/>
          <w:szCs w:val="24"/>
        </w:rPr>
        <w:t xml:space="preserve"> voluntarios han sido los encargados de impartir las sesiones en </w:t>
      </w:r>
      <w:r>
        <w:rPr>
          <w:rFonts w:ascii="Arial" w:eastAsia="Arial" w:hAnsi="Arial" w:cs="Arial"/>
          <w:b/>
          <w:sz w:val="24"/>
          <w:szCs w:val="24"/>
        </w:rPr>
        <w:t>20</w:t>
      </w:r>
      <w:r>
        <w:rPr>
          <w:rFonts w:ascii="Arial" w:eastAsia="Arial" w:hAnsi="Arial" w:cs="Arial"/>
          <w:b/>
          <w:color w:val="000000"/>
          <w:sz w:val="24"/>
          <w:szCs w:val="24"/>
        </w:rPr>
        <w:t xml:space="preserve"> centros educativos para enseñar al alumnado a administrar un presupuesto personal/familiar, a prevenir el endeudamiento y a planificar financieramente el futuro</w:t>
      </w:r>
    </w:p>
    <w:p w14:paraId="4E3C9593" w14:textId="4E18E968" w:rsidR="00713EAD" w:rsidRDefault="003B7EEE">
      <w:pPr>
        <w:spacing w:before="240" w:line="360" w:lineRule="auto"/>
        <w:jc w:val="both"/>
        <w:rPr>
          <w:rFonts w:ascii="Arial" w:eastAsia="Arial" w:hAnsi="Arial" w:cs="Arial"/>
        </w:rPr>
      </w:pPr>
      <w:r w:rsidRPr="00FF5B2B">
        <w:rPr>
          <w:rFonts w:ascii="Arial" w:eastAsia="Arial" w:hAnsi="Arial" w:cs="Arial"/>
          <w:b/>
        </w:rPr>
        <w:t xml:space="preserve">Aragón, </w:t>
      </w:r>
      <w:r w:rsidR="00007113" w:rsidRPr="00FF5B2B">
        <w:rPr>
          <w:rFonts w:ascii="Arial" w:eastAsia="Arial" w:hAnsi="Arial" w:cs="Arial"/>
          <w:b/>
        </w:rPr>
        <w:t>9</w:t>
      </w:r>
      <w:r w:rsidRPr="00FF5B2B">
        <w:rPr>
          <w:rFonts w:ascii="Arial" w:eastAsia="Arial" w:hAnsi="Arial" w:cs="Arial"/>
          <w:b/>
        </w:rPr>
        <w:t xml:space="preserve"> de </w:t>
      </w:r>
      <w:r w:rsidR="00B40A97" w:rsidRPr="00FF5B2B">
        <w:rPr>
          <w:rFonts w:ascii="Arial" w:eastAsia="Arial" w:hAnsi="Arial" w:cs="Arial"/>
          <w:b/>
        </w:rPr>
        <w:t>julio</w:t>
      </w:r>
      <w:r w:rsidRPr="00FF5B2B">
        <w:rPr>
          <w:rFonts w:ascii="Arial" w:eastAsia="Arial" w:hAnsi="Arial" w:cs="Arial"/>
          <w:b/>
        </w:rPr>
        <w:t xml:space="preserve"> de 2024.- </w:t>
      </w:r>
      <w:r w:rsidRPr="00FF5B2B">
        <w:rPr>
          <w:rFonts w:ascii="Arial" w:eastAsia="Arial" w:hAnsi="Arial" w:cs="Arial"/>
        </w:rPr>
        <w:t>Voluntariado CaixaBank</w:t>
      </w:r>
      <w:r w:rsidR="00B40A97" w:rsidRPr="00FF5B2B">
        <w:rPr>
          <w:rFonts w:ascii="Arial" w:eastAsia="Arial" w:hAnsi="Arial" w:cs="Arial"/>
        </w:rPr>
        <w:t>, el I</w:t>
      </w:r>
      <w:r w:rsidRPr="00FF5B2B">
        <w:rPr>
          <w:rFonts w:ascii="Arial" w:eastAsia="Arial" w:hAnsi="Arial" w:cs="Arial"/>
        </w:rPr>
        <w:t xml:space="preserve">nstituto de Estudios Financieros (IEF) </w:t>
      </w:r>
      <w:r w:rsidR="00B40A97" w:rsidRPr="00FF5B2B">
        <w:rPr>
          <w:rFonts w:ascii="Arial" w:hAnsi="Arial" w:cs="Arial"/>
        </w:rPr>
        <w:t>y el Departamento de Educación, Ciencia y Universidades del Gobierno de Aragón</w:t>
      </w:r>
      <w:r w:rsidR="00B40A97" w:rsidRPr="00FF5B2B">
        <w:rPr>
          <w:rFonts w:ascii="Arial" w:eastAsia="Arial" w:hAnsi="Arial" w:cs="Arial"/>
        </w:rPr>
        <w:t xml:space="preserve"> </w:t>
      </w:r>
      <w:r w:rsidRPr="00FF5B2B">
        <w:rPr>
          <w:rFonts w:ascii="Arial" w:eastAsia="Arial" w:hAnsi="Arial" w:cs="Arial"/>
        </w:rPr>
        <w:t>han presentado el balance de cierre de curso del proyecto ‘Finanzas para Jóvenes’. En Aragón se ha formado a un total de 657 alumnos de 4º de ESO a través de 101 talleres. En los talleres han participado 20 centros educativos y 13 voluntarios, que han sido los encargados de preparar y exponer las sesiones en las aulas.</w:t>
      </w:r>
      <w:r>
        <w:rPr>
          <w:rFonts w:ascii="Arial" w:eastAsia="Arial" w:hAnsi="Arial" w:cs="Arial"/>
        </w:rPr>
        <w:t xml:space="preserve"> </w:t>
      </w:r>
    </w:p>
    <w:p w14:paraId="0542F7AE" w14:textId="77777777" w:rsidR="00713EAD" w:rsidRDefault="003B7EEE">
      <w:pPr>
        <w:spacing w:before="240" w:line="360" w:lineRule="auto"/>
        <w:jc w:val="both"/>
        <w:rPr>
          <w:rFonts w:ascii="Arial" w:eastAsia="Arial" w:hAnsi="Arial" w:cs="Arial"/>
        </w:rPr>
      </w:pPr>
      <w:r>
        <w:rPr>
          <w:rFonts w:ascii="Arial" w:eastAsia="Arial" w:hAnsi="Arial" w:cs="Arial"/>
        </w:rPr>
        <w:t xml:space="preserve">Esta iniciativa tiene como objetivo mejorar la cultura financiera de los adolescentes, aportándoles conocimientos y herramientas que les permitan tomar mejores decisiones para su futuro. Para ello, todos los voluntarios del programa han recibido una formación previa, incluyendo consejos pedagógicos y una metodología de enseñanza por parte del Instituto de Estudios Financieros (IEF). </w:t>
      </w:r>
    </w:p>
    <w:p w14:paraId="7524886D" w14:textId="77777777" w:rsidR="00713EAD" w:rsidRDefault="003B7EEE">
      <w:pPr>
        <w:spacing w:before="240" w:line="360" w:lineRule="auto"/>
        <w:jc w:val="both"/>
        <w:rPr>
          <w:rFonts w:ascii="Arial" w:eastAsia="Arial" w:hAnsi="Arial" w:cs="Arial"/>
        </w:rPr>
      </w:pPr>
      <w:r>
        <w:rPr>
          <w:rFonts w:ascii="Arial" w:eastAsia="Arial" w:hAnsi="Arial" w:cs="Arial"/>
        </w:rPr>
        <w:t xml:space="preserve">Los estudiantes que han participado de estas sesiones se han formado a través de cuatro grandes temarios. El primero de ellos ha girado en torno a la administración del dinero, con el que los alumnos han aprendido a gestionar un presupuesto, a planificar y a controlar los gastos cotidianos de una manera responsable y sostenible.  </w:t>
      </w:r>
    </w:p>
    <w:p w14:paraId="1592C2F9" w14:textId="77777777" w:rsidR="00713EAD" w:rsidRDefault="003B7EEE">
      <w:pPr>
        <w:spacing w:before="240" w:line="360" w:lineRule="auto"/>
        <w:jc w:val="both"/>
        <w:rPr>
          <w:rFonts w:ascii="Arial" w:eastAsia="Arial" w:hAnsi="Arial" w:cs="Arial"/>
        </w:rPr>
      </w:pPr>
      <w:r>
        <w:rPr>
          <w:rFonts w:ascii="Arial" w:eastAsia="Arial" w:hAnsi="Arial" w:cs="Arial"/>
        </w:rPr>
        <w:t>El segundo bloque ha tenido como temática el endeudamiento y en él se han mostrado los distintos tipos de endeudamiento y han reflexionado sobre el consumo responsable. El tercer gran temario ha sido la inversión inteligente, gracias al cual los alumnos han conocido el binomio riesgo/rentabilidad, las ventajas de la diversificación y las finanzas socialmente responsables. El último gran bloque ha sido sobre finanzas para la vida, en el que los estudiantes han podido analizar la importancia de los objetivos vitales y el impacto de las decisiones financieras.</w:t>
      </w:r>
    </w:p>
    <w:p w14:paraId="1BD91EA9" w14:textId="77777777" w:rsidR="00B40A97" w:rsidRDefault="00B40A97">
      <w:pPr>
        <w:spacing w:before="240" w:line="360" w:lineRule="auto"/>
        <w:jc w:val="both"/>
        <w:rPr>
          <w:rFonts w:ascii="Arial" w:eastAsia="Arial" w:hAnsi="Arial" w:cs="Arial"/>
          <w:b/>
        </w:rPr>
      </w:pPr>
    </w:p>
    <w:p w14:paraId="55DBB698" w14:textId="473D75B3" w:rsidR="00713EAD" w:rsidRDefault="003B7EEE">
      <w:pPr>
        <w:spacing w:before="240" w:line="360" w:lineRule="auto"/>
        <w:jc w:val="both"/>
        <w:rPr>
          <w:rFonts w:ascii="Arial" w:eastAsia="Arial" w:hAnsi="Arial" w:cs="Arial"/>
          <w:b/>
        </w:rPr>
      </w:pPr>
      <w:r>
        <w:rPr>
          <w:rFonts w:ascii="Arial" w:eastAsia="Arial" w:hAnsi="Arial" w:cs="Arial"/>
          <w:b/>
        </w:rPr>
        <w:lastRenderedPageBreak/>
        <w:t xml:space="preserve">Un proyecto consolidado de educación financiera para jóvenes </w:t>
      </w:r>
    </w:p>
    <w:p w14:paraId="68F8CA98" w14:textId="62B0516E" w:rsidR="00713EAD" w:rsidRDefault="003B7EEE">
      <w:pPr>
        <w:spacing w:before="240" w:line="360" w:lineRule="auto"/>
        <w:jc w:val="both"/>
        <w:rPr>
          <w:rFonts w:ascii="Arial" w:eastAsia="Arial" w:hAnsi="Arial" w:cs="Arial"/>
        </w:rPr>
      </w:pPr>
      <w:r>
        <w:rPr>
          <w:rFonts w:ascii="Arial" w:eastAsia="Arial" w:hAnsi="Arial" w:cs="Arial"/>
        </w:rPr>
        <w:t>A nivel nacional, durante este curso académico se han impartido cerca de 1.150 talleres entre 224 centros, lo que ha beneficiado a un total de 9.378 alumnos y alumnas de 4º de ESO en nueve comunidades autónomas (Andalucía, Aragón, Islas Baleares, Cantabria, Castilla-La Mancha, Castilla y León, Comunidad de Madrid, Extremadura y Región de Murcia). Este alcance ha sido posible, principalmente, gracias a la dedicación de 205 voluntarios de CaixaBank en toda España.</w:t>
      </w:r>
    </w:p>
    <w:p w14:paraId="2B812035" w14:textId="77777777" w:rsidR="00713EAD" w:rsidRDefault="003B7EEE">
      <w:pPr>
        <w:spacing w:before="240" w:line="360" w:lineRule="auto"/>
        <w:jc w:val="both"/>
        <w:rPr>
          <w:rFonts w:ascii="Arial" w:eastAsia="Arial" w:hAnsi="Arial" w:cs="Arial"/>
        </w:rPr>
      </w:pPr>
      <w:r>
        <w:rPr>
          <w:rFonts w:ascii="Arial" w:eastAsia="Arial" w:hAnsi="Arial" w:cs="Arial"/>
        </w:rPr>
        <w:t xml:space="preserve">Durante este curso también se ha celebrado el Concurso Nacional de Infografías, impulsado por CaixaBank y el IEF. Este galardón es un reconocimiento a los mejores trabajos de los jóvenes en materia de comunicación financiera, y tiene como objetivo potenciar la creatividad, la innovación y el diseño en este ámbito. Este año, el primer premio se ha otorgado a una alumna del Colegio </w:t>
      </w:r>
      <w:proofErr w:type="spellStart"/>
      <w:r>
        <w:rPr>
          <w:rFonts w:ascii="Arial" w:eastAsia="Arial" w:hAnsi="Arial" w:cs="Arial"/>
        </w:rPr>
        <w:t>Peñalvento</w:t>
      </w:r>
      <w:proofErr w:type="spellEnd"/>
      <w:r>
        <w:rPr>
          <w:rFonts w:ascii="Arial" w:eastAsia="Arial" w:hAnsi="Arial" w:cs="Arial"/>
        </w:rPr>
        <w:t xml:space="preserve"> de</w:t>
      </w:r>
      <w:r>
        <w:t xml:space="preserve"> </w:t>
      </w:r>
      <w:r>
        <w:rPr>
          <w:rFonts w:ascii="Arial" w:eastAsia="Arial" w:hAnsi="Arial" w:cs="Arial"/>
        </w:rPr>
        <w:t xml:space="preserve">Colmenar Viejo (Madrid). </w:t>
      </w:r>
    </w:p>
    <w:p w14:paraId="13BD55D1" w14:textId="77777777" w:rsidR="00713EAD" w:rsidRDefault="003B7EEE">
      <w:pPr>
        <w:spacing w:before="240" w:line="360" w:lineRule="auto"/>
        <w:jc w:val="both"/>
        <w:rPr>
          <w:rFonts w:ascii="Arial" w:eastAsia="Arial" w:hAnsi="Arial" w:cs="Arial"/>
          <w:b/>
        </w:rPr>
      </w:pPr>
      <w:r>
        <w:rPr>
          <w:rFonts w:ascii="Arial" w:eastAsia="Arial" w:hAnsi="Arial" w:cs="Arial"/>
          <w:b/>
        </w:rPr>
        <w:t>Instituto de Estudios Financieros (IEF), pionero en divulgación financiera</w:t>
      </w:r>
    </w:p>
    <w:p w14:paraId="6191EE1E" w14:textId="77777777" w:rsidR="00713EAD" w:rsidRDefault="003B7EEE">
      <w:pPr>
        <w:spacing w:before="240" w:line="360" w:lineRule="auto"/>
        <w:jc w:val="both"/>
        <w:rPr>
          <w:rFonts w:ascii="Arial" w:eastAsia="Arial" w:hAnsi="Arial" w:cs="Arial"/>
        </w:rPr>
      </w:pPr>
      <w:r>
        <w:rPr>
          <w:rFonts w:ascii="Arial" w:eastAsia="Arial" w:hAnsi="Arial" w:cs="Arial"/>
        </w:rPr>
        <w:t xml:space="preserve">Desde el año 2008 el IEF desarrolla proyectos de educación financiera básica a nivel nacional y europeo, dirigidos al conjunto de la sociedad. El IEF es miembro colaborador del Plan de Educación Financiera promovido por el Banco de España y la CNMV y de otros foros internacionales como la OCDE y EBTN. </w:t>
      </w:r>
    </w:p>
    <w:p w14:paraId="3668E1C5" w14:textId="77777777" w:rsidR="00713EAD" w:rsidRDefault="003B7EEE">
      <w:pPr>
        <w:spacing w:before="240" w:line="360" w:lineRule="auto"/>
        <w:jc w:val="both"/>
        <w:rPr>
          <w:rFonts w:ascii="Arial" w:eastAsia="Arial" w:hAnsi="Arial" w:cs="Arial"/>
        </w:rPr>
      </w:pPr>
      <w:r>
        <w:rPr>
          <w:rFonts w:ascii="Arial" w:eastAsia="Arial" w:hAnsi="Arial" w:cs="Arial"/>
        </w:rPr>
        <w:t>Con más de 34 años de trayectoria, el IEF ha realizado actividades formativas en las que han participado más de 120.000 profesionales de todos los ámbitos del sector. También ha intervenido en proyectos de la Comisión Europea y es el único miembro español de la Asociación Europea de Institutos Bancarios (EBTN), que integra los 40 institutos de formación financiera más prestigiosos de 32 países europeos.</w:t>
      </w:r>
    </w:p>
    <w:p w14:paraId="70AA197B" w14:textId="77777777" w:rsidR="00713EAD" w:rsidRDefault="003B7EEE">
      <w:pPr>
        <w:spacing w:before="240" w:line="360" w:lineRule="auto"/>
        <w:jc w:val="both"/>
        <w:rPr>
          <w:rFonts w:ascii="Arial" w:eastAsia="Arial" w:hAnsi="Arial" w:cs="Arial"/>
          <w:b/>
        </w:rPr>
      </w:pPr>
      <w:r>
        <w:rPr>
          <w:rFonts w:ascii="Arial" w:eastAsia="Arial" w:hAnsi="Arial" w:cs="Arial"/>
          <w:b/>
        </w:rPr>
        <w:t xml:space="preserve">CaixaBank, comprometidos con el impulso de la cultura financiera </w:t>
      </w:r>
    </w:p>
    <w:p w14:paraId="48A0787F" w14:textId="77777777" w:rsidR="00713EAD" w:rsidRDefault="003B7EEE">
      <w:pPr>
        <w:spacing w:before="240" w:line="360" w:lineRule="auto"/>
        <w:jc w:val="both"/>
        <w:rPr>
          <w:rFonts w:ascii="Arial" w:eastAsia="Arial" w:hAnsi="Arial" w:cs="Arial"/>
        </w:rPr>
      </w:pPr>
      <w:r>
        <w:rPr>
          <w:rFonts w:ascii="Arial" w:eastAsia="Arial" w:hAnsi="Arial" w:cs="Arial"/>
        </w:rPr>
        <w:t>Como parte del modelo de banca sostenible, CaixaBank está comprometida con la mejora de la cultura financiera de clientes, accionistas y, en general, de toda la sociedad. Este compromiso ha permitido, durante muchos años, impulsar el conocimiento financiero a través de información neutra, independiente y de calidad, con el fin de ayudar en la toma de decisiones responsables sobre la economía personal y familiar.</w:t>
      </w:r>
    </w:p>
    <w:p w14:paraId="7968F21A" w14:textId="77777777" w:rsidR="00713EAD" w:rsidRDefault="003B7EEE">
      <w:pPr>
        <w:spacing w:before="240" w:line="360" w:lineRule="auto"/>
        <w:jc w:val="both"/>
        <w:rPr>
          <w:rFonts w:ascii="Arial" w:eastAsia="Arial" w:hAnsi="Arial" w:cs="Arial"/>
        </w:rPr>
      </w:pPr>
      <w:r>
        <w:rPr>
          <w:rFonts w:ascii="Arial" w:eastAsia="Arial" w:hAnsi="Arial" w:cs="Arial"/>
        </w:rPr>
        <w:t xml:space="preserve">A través del ‘Programa Funcas de Estímulo de la Educación Financiera’, impulsado por la Fundación de las Cajas de Ahorro (Funcas) y la Asociación de Cajas y Bancos creados por las Cajas (CECA), CaixaBank continúa trabajando diariamente con el objetivo de divulgar conocimiento y concienciar a todas las personas sobre la importancia de adquirir una buena cultura financiera. Además, impulsa </w:t>
      </w:r>
      <w:r>
        <w:rPr>
          <w:rFonts w:ascii="Arial" w:eastAsia="Arial" w:hAnsi="Arial" w:cs="Arial"/>
        </w:rPr>
        <w:lastRenderedPageBreak/>
        <w:t>actividades formativas que cubren necesidades específicas de jóvenes, mayores, emprendedores o personas en situación vulnerable, a través de talleres especializados, cursos de formación y conferencias.</w:t>
      </w:r>
    </w:p>
    <w:p w14:paraId="4A1CC023" w14:textId="77777777" w:rsidR="00713EAD" w:rsidRDefault="003B7EEE">
      <w:pPr>
        <w:spacing w:before="240" w:line="360" w:lineRule="auto"/>
        <w:jc w:val="both"/>
        <w:rPr>
          <w:rFonts w:ascii="Arial" w:eastAsia="Arial" w:hAnsi="Arial" w:cs="Arial"/>
          <w:b/>
        </w:rPr>
      </w:pPr>
      <w:r>
        <w:rPr>
          <w:rFonts w:ascii="Arial" w:eastAsia="Arial" w:hAnsi="Arial" w:cs="Arial"/>
          <w:b/>
        </w:rPr>
        <w:t>Voluntariado CaixaBank</w:t>
      </w:r>
    </w:p>
    <w:p w14:paraId="4C03DFBF" w14:textId="77777777" w:rsidR="00713EAD" w:rsidRDefault="003B7EEE">
      <w:pPr>
        <w:spacing w:before="240" w:line="360" w:lineRule="auto"/>
        <w:jc w:val="both"/>
        <w:rPr>
          <w:rFonts w:ascii="Arial" w:eastAsia="Arial" w:hAnsi="Arial" w:cs="Arial"/>
        </w:rPr>
      </w:pPr>
      <w:r>
        <w:rPr>
          <w:rFonts w:ascii="Arial" w:eastAsia="Arial" w:hAnsi="Arial" w:cs="Arial"/>
        </w:rPr>
        <w:t xml:space="preserve">Voluntariado CaixaBank se constituye como una de las mayores iniciativas de voluntariado en España y su propósito es acercar la práctica de acciones solidarias a toda la ciudadanía. Con una trayectoria de 19 años, la asociación está formada por empleados y exempleados del Grupo CaixaBank y de la Fundación “la Caixa”, así como amigos, familiares, clientes de CaixaBank y todas aquellas personas que quieran participar en actividades solidarias. </w:t>
      </w:r>
    </w:p>
    <w:p w14:paraId="4BAB84D8" w14:textId="77777777" w:rsidR="00713EAD" w:rsidRDefault="003B7EEE">
      <w:pPr>
        <w:spacing w:before="240" w:line="360" w:lineRule="auto"/>
        <w:jc w:val="both"/>
        <w:rPr>
          <w:rFonts w:ascii="Arial" w:eastAsia="Arial" w:hAnsi="Arial" w:cs="Arial"/>
        </w:rPr>
      </w:pPr>
      <w:r>
        <w:rPr>
          <w:rFonts w:ascii="Arial" w:eastAsia="Arial" w:hAnsi="Arial" w:cs="Arial"/>
        </w:rPr>
        <w:t xml:space="preserve">En 2023, gracias al trabajo conjunto con más de 2.200 entidades sociales y fruto de la implicación de más de 17.200 voluntarios, el programa de Voluntariado CaixaBank ha ayudado a más de 372.000 personas vulnerables en toda España, mediante actividades relacionadas con la educación, la digitalización, el acompañamiento a personas vulnerables y el medioambiente, entre otras. </w:t>
      </w:r>
    </w:p>
    <w:p w14:paraId="0E141FE0" w14:textId="77777777" w:rsidR="00713EAD" w:rsidRDefault="003B7EEE">
      <w:pPr>
        <w:spacing w:before="240" w:line="360" w:lineRule="auto"/>
        <w:jc w:val="both"/>
        <w:rPr>
          <w:rFonts w:ascii="Arial" w:eastAsia="Arial" w:hAnsi="Arial" w:cs="Arial"/>
        </w:rPr>
      </w:pPr>
      <w:r>
        <w:rPr>
          <w:rFonts w:ascii="Arial" w:eastAsia="Arial" w:hAnsi="Arial" w:cs="Arial"/>
        </w:rPr>
        <w:t>El fomento del voluntariado corporativo es una de las líneas de actuación de CaixaBank. Para la entidad, esta es una forma de contribuir a dar respuesta a los retos que demanda la sociedad, a la vez que, a través de la actividad financiera, ofrece servicios y soluciones para entidades sociales y personas en riesgo de vulnerabilidad.</w:t>
      </w:r>
    </w:p>
    <w:p w14:paraId="24185321" w14:textId="77777777" w:rsidR="002959F6" w:rsidRDefault="002959F6">
      <w:pPr>
        <w:spacing w:before="240" w:line="360" w:lineRule="auto"/>
        <w:jc w:val="both"/>
        <w:rPr>
          <w:rFonts w:ascii="Arial" w:eastAsia="Arial" w:hAnsi="Arial" w:cs="Arial"/>
        </w:rPr>
      </w:pPr>
    </w:p>
    <w:p w14:paraId="4A2BF9F8" w14:textId="77777777" w:rsidR="002959F6" w:rsidRDefault="002959F6">
      <w:pPr>
        <w:spacing w:before="240" w:line="360" w:lineRule="auto"/>
        <w:jc w:val="both"/>
        <w:rPr>
          <w:rFonts w:ascii="Arial" w:eastAsia="Arial" w:hAnsi="Arial" w:cs="Arial"/>
        </w:rPr>
      </w:pPr>
    </w:p>
    <w:sectPr w:rsidR="002959F6">
      <w:headerReference w:type="even" r:id="rId11"/>
      <w:headerReference w:type="default" r:id="rId12"/>
      <w:footerReference w:type="even" r:id="rId13"/>
      <w:footerReference w:type="default" r:id="rId14"/>
      <w:headerReference w:type="first" r:id="rId15"/>
      <w:footerReference w:type="first" r:id="rId16"/>
      <w:pgSz w:w="11906" w:h="16838"/>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B1E979" w14:textId="77777777" w:rsidR="0093209C" w:rsidRDefault="0093209C">
      <w:r>
        <w:separator/>
      </w:r>
    </w:p>
  </w:endnote>
  <w:endnote w:type="continuationSeparator" w:id="0">
    <w:p w14:paraId="78D03C55" w14:textId="77777777" w:rsidR="0093209C" w:rsidRDefault="00932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99155F9-2985-4D45-BF0B-78BB451DD210}"/>
  </w:font>
  <w:font w:name="Courier New">
    <w:panose1 w:val="02070309020205020404"/>
    <w:charset w:val="00"/>
    <w:family w:val="modern"/>
    <w:pitch w:val="fixed"/>
    <w:sig w:usb0="E0002EFF" w:usb1="C0007843" w:usb2="00000009" w:usb3="00000000" w:csb0="000001FF" w:csb1="00000000"/>
  </w:font>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471B08A0-2B7B-4E9D-948E-D7CE80A1B4E8}"/>
  </w:font>
  <w:font w:name="Calibri">
    <w:panose1 w:val="020F0502020204030204"/>
    <w:charset w:val="00"/>
    <w:family w:val="swiss"/>
    <w:pitch w:val="variable"/>
    <w:sig w:usb0="E4002EFF" w:usb1="C200247B" w:usb2="00000009" w:usb3="00000000" w:csb0="000001FF" w:csb1="00000000"/>
    <w:embedRegular r:id="rId3" w:fontKey="{C62173BB-B724-4BFD-A1BF-4A2094FBD10E}"/>
  </w:font>
  <w:font w:name="Georgia">
    <w:panose1 w:val="02040502050405020303"/>
    <w:charset w:val="00"/>
    <w:family w:val="roman"/>
    <w:pitch w:val="variable"/>
    <w:sig w:usb0="00000287" w:usb1="00000000" w:usb2="00000000" w:usb3="00000000" w:csb0="0000009F" w:csb1="00000000"/>
    <w:embedRegular r:id="rId4" w:fontKey="{7BA8E63C-5D01-4318-82EE-AA8461B2C132}"/>
    <w:embedItalic r:id="rId5" w:fontKey="{5E83AF27-9021-48F1-86FB-224FE7D803C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BCA9CEDD-3A6B-4521-9A44-122E86B779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3D5678" w14:textId="77777777" w:rsidR="00713EAD" w:rsidRDefault="00713EAD">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4EF2B" w14:textId="77777777" w:rsidR="00713EAD" w:rsidRDefault="00713EAD">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3B170" w14:textId="77777777" w:rsidR="00713EAD" w:rsidRDefault="00713EA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2D729A" w14:textId="77777777" w:rsidR="0093209C" w:rsidRDefault="0093209C">
      <w:r>
        <w:separator/>
      </w:r>
    </w:p>
  </w:footnote>
  <w:footnote w:type="continuationSeparator" w:id="0">
    <w:p w14:paraId="386A00C6" w14:textId="77777777" w:rsidR="0093209C" w:rsidRDefault="009320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FB0033" w14:textId="77777777" w:rsidR="00713EAD" w:rsidRDefault="00713EAD">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9F458" w14:textId="665AD334" w:rsidR="00713EAD" w:rsidRDefault="00B40A97">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64384" behindDoc="1" locked="0" layoutInCell="1" allowOverlap="1" wp14:anchorId="45656222" wp14:editId="2328BA69">
          <wp:simplePos x="0" y="0"/>
          <wp:positionH relativeFrom="column">
            <wp:posOffset>1948543</wp:posOffset>
          </wp:positionH>
          <wp:positionV relativeFrom="paragraph">
            <wp:posOffset>-185692</wp:posOffset>
          </wp:positionV>
          <wp:extent cx="1352550" cy="533400"/>
          <wp:effectExtent l="0" t="0" r="0" b="0"/>
          <wp:wrapNone/>
          <wp:docPr id="2" name="Imagen 2" descr="C:\Users\ichabbar\AppData\Local\Microsoft\Windows\INetCache\Content.Word\Educación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chabbar\AppData\Local\Microsoft\Windows\INetCache\Content.Word\Educación colo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2550" cy="533400"/>
                  </a:xfrm>
                  <a:prstGeom prst="rect">
                    <a:avLst/>
                  </a:prstGeom>
                  <a:noFill/>
                  <a:ln>
                    <a:noFill/>
                  </a:ln>
                </pic:spPr>
              </pic:pic>
            </a:graphicData>
          </a:graphic>
        </wp:anchor>
      </w:drawing>
    </w:r>
    <w:r w:rsidR="003B7EEE">
      <w:rPr>
        <w:noProof/>
      </w:rPr>
      <mc:AlternateContent>
        <mc:Choice Requires="wps">
          <w:drawing>
            <wp:anchor distT="0" distB="0" distL="0" distR="0" simplePos="0" relativeHeight="251658240" behindDoc="1" locked="0" layoutInCell="1" hidden="0" allowOverlap="1" wp14:anchorId="24CEED0D" wp14:editId="3168D707">
              <wp:simplePos x="0" y="0"/>
              <wp:positionH relativeFrom="column">
                <wp:posOffset>7429500</wp:posOffset>
              </wp:positionH>
              <wp:positionV relativeFrom="paragraph">
                <wp:posOffset>-25399</wp:posOffset>
              </wp:positionV>
              <wp:extent cx="1687830" cy="255270"/>
              <wp:effectExtent l="0" t="0" r="0" b="0"/>
              <wp:wrapNone/>
              <wp:docPr id="1281685813" name="Rectángulo 1281685813"/>
              <wp:cNvGraphicFramePr/>
              <a:graphic xmlns:a="http://schemas.openxmlformats.org/drawingml/2006/main">
                <a:graphicData uri="http://schemas.microsoft.com/office/word/2010/wordprocessingShape">
                  <wps:wsp>
                    <wps:cNvSpPr/>
                    <wps:spPr>
                      <a:xfrm>
                        <a:off x="4511610" y="3661890"/>
                        <a:ext cx="1668780" cy="236220"/>
                      </a:xfrm>
                      <a:prstGeom prst="rect">
                        <a:avLst/>
                      </a:prstGeom>
                      <a:noFill/>
                      <a:ln>
                        <a:noFill/>
                      </a:ln>
                    </wps:spPr>
                    <wps:txbx>
                      <w:txbxContent>
                        <w:p w14:paraId="0348B781" w14:textId="77777777" w:rsidR="00713EAD" w:rsidRDefault="003B7EEE">
                          <w:pPr>
                            <w:textDirection w:val="btLr"/>
                          </w:pPr>
                          <w:r>
                            <w:rPr>
                              <w:rFonts w:ascii="Arial" w:eastAsia="Arial" w:hAnsi="Arial" w:cs="Arial"/>
                              <w:b/>
                              <w:i/>
                              <w:color w:val="595959"/>
                              <w:sz w:val="28"/>
                            </w:rPr>
                            <w:t>NOTA DE PRENSA</w:t>
                          </w:r>
                        </w:p>
                      </w:txbxContent>
                    </wps:txbx>
                    <wps:bodyPr spcFirstLastPara="1" wrap="square" lIns="0" tIns="0" rIns="0" bIns="0" anchor="t" anchorCtr="0">
                      <a:noAutofit/>
                    </wps:bodyPr>
                  </wps:wsp>
                </a:graphicData>
              </a:graphic>
            </wp:anchor>
          </w:drawing>
        </mc:Choice>
        <mc:Fallback>
          <w:pict>
            <v:rect w14:anchorId="24CEED0D" id="Rectángulo 1281685813" o:spid="_x0000_s1026" style="position:absolute;margin-left:585pt;margin-top:-2pt;width:132.9pt;height:20.1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" filled="f" stroked="f">
              <v:textbox inset="0,0,0,0">
                <w:txbxContent>
                  <w:p w14:paraId="0348B781" w14:textId="77777777" w:rsidR="00713EAD" w:rsidRDefault="003B7EEE">
                    <w:pPr>
                      <w:textDirection w:val="btLr"/>
                    </w:pPr>
                    <w:r>
                      <w:rPr>
                        <w:rFonts w:ascii="Arial" w:eastAsia="Arial" w:hAnsi="Arial" w:cs="Arial"/>
                        <w:b/>
                        <w:i/>
                        <w:color w:val="595959"/>
                        <w:sz w:val="28"/>
                      </w:rPr>
                      <w:t>NOTA DE PRENSA</w:t>
                    </w:r>
                  </w:p>
                </w:txbxContent>
              </v:textbox>
            </v:rect>
          </w:pict>
        </mc:Fallback>
      </mc:AlternateContent>
    </w:r>
    <w:r w:rsidR="003B7EEE">
      <w:rPr>
        <w:noProof/>
      </w:rPr>
      <w:drawing>
        <wp:anchor distT="0" distB="0" distL="0" distR="0" simplePos="0" relativeHeight="251659264" behindDoc="1" locked="0" layoutInCell="1" hidden="0" allowOverlap="1" wp14:anchorId="1E0DF013" wp14:editId="17BFDC27">
          <wp:simplePos x="0" y="0"/>
          <wp:positionH relativeFrom="column">
            <wp:posOffset>0</wp:posOffset>
          </wp:positionH>
          <wp:positionV relativeFrom="paragraph">
            <wp:posOffset>-104138</wp:posOffset>
          </wp:positionV>
          <wp:extent cx="1524000" cy="304165"/>
          <wp:effectExtent l="0" t="0" r="0" b="0"/>
          <wp:wrapNone/>
          <wp:docPr id="1281685814" name="image2.png" descr="Imatge que conté Gràfics, disseny gràfic&#10;&#10;Descripció generada automàticament"/>
          <wp:cNvGraphicFramePr/>
          <a:graphic xmlns:a="http://schemas.openxmlformats.org/drawingml/2006/main">
            <a:graphicData uri="http://schemas.openxmlformats.org/drawingml/2006/picture">
              <pic:pic xmlns:pic="http://schemas.openxmlformats.org/drawingml/2006/picture">
                <pic:nvPicPr>
                  <pic:cNvPr id="0" name="image2.png" descr="Imatge que conté Gràfics, disseny gràfic&#10;&#10;Descripció generada automàticament"/>
                  <pic:cNvPicPr preferRelativeResize="0"/>
                </pic:nvPicPr>
                <pic:blipFill>
                  <a:blip r:embed="rId2"/>
                  <a:srcRect/>
                  <a:stretch>
                    <a:fillRect/>
                  </a:stretch>
                </pic:blipFill>
                <pic:spPr>
                  <a:xfrm>
                    <a:off x="0" y="0"/>
                    <a:ext cx="1524000" cy="304165"/>
                  </a:xfrm>
                  <a:prstGeom prst="rect">
                    <a:avLst/>
                  </a:prstGeom>
                  <a:ln/>
                </pic:spPr>
              </pic:pic>
            </a:graphicData>
          </a:graphic>
        </wp:anchor>
      </w:drawing>
    </w:r>
    <w:r w:rsidR="003B7EEE">
      <w:rPr>
        <w:noProof/>
      </w:rPr>
      <w:drawing>
        <wp:anchor distT="0" distB="0" distL="114300" distR="114300" simplePos="0" relativeHeight="251661312" behindDoc="0" locked="0" layoutInCell="1" hidden="0" allowOverlap="1" wp14:anchorId="5E6F8777" wp14:editId="49618D63">
          <wp:simplePos x="0" y="0"/>
          <wp:positionH relativeFrom="column">
            <wp:posOffset>3623614</wp:posOffset>
          </wp:positionH>
          <wp:positionV relativeFrom="paragraph">
            <wp:posOffset>-187351</wp:posOffset>
          </wp:positionV>
          <wp:extent cx="1981200" cy="268605"/>
          <wp:effectExtent l="0" t="0" r="0" b="0"/>
          <wp:wrapNone/>
          <wp:docPr id="1281685816" name="image1.png" descr="Un letrero de color negr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png" descr="Un letrero de color negro&#10;&#10;Descripción generada automáticamente con confianza baja"/>
                  <pic:cNvPicPr preferRelativeResize="0"/>
                </pic:nvPicPr>
                <pic:blipFill>
                  <a:blip r:embed="rId3"/>
                  <a:srcRect/>
                  <a:stretch>
                    <a:fillRect/>
                  </a:stretch>
                </pic:blipFill>
                <pic:spPr>
                  <a:xfrm>
                    <a:off x="0" y="0"/>
                    <a:ext cx="1981200" cy="268605"/>
                  </a:xfrm>
                  <a:prstGeom prst="rect">
                    <a:avLst/>
                  </a:prstGeom>
                  <a:ln/>
                </pic:spPr>
              </pic:pic>
            </a:graphicData>
          </a:graphic>
        </wp:anchor>
      </w:drawing>
    </w:r>
  </w:p>
  <w:p w14:paraId="726FA723" w14:textId="77777777" w:rsidR="00713EAD" w:rsidRDefault="003B7EEE">
    <w:pPr>
      <w:pBdr>
        <w:top w:val="nil"/>
        <w:left w:val="nil"/>
        <w:bottom w:val="nil"/>
        <w:right w:val="nil"/>
        <w:between w:val="nil"/>
      </w:pBdr>
      <w:tabs>
        <w:tab w:val="center" w:pos="4252"/>
        <w:tab w:val="right" w:pos="8504"/>
      </w:tabs>
      <w:rPr>
        <w:color w:val="000000"/>
      </w:rPr>
    </w:pPr>
    <w:r>
      <w:rPr>
        <w:noProof/>
      </w:rPr>
      <mc:AlternateContent>
        <mc:Choice Requires="wps">
          <w:drawing>
            <wp:anchor distT="0" distB="0" distL="114300" distR="114300" simplePos="0" relativeHeight="251662336" behindDoc="0" locked="0" layoutInCell="1" hidden="0" allowOverlap="1" wp14:anchorId="3C816723" wp14:editId="4B5E7F5C">
              <wp:simplePos x="0" y="0"/>
              <wp:positionH relativeFrom="column">
                <wp:posOffset>3937000</wp:posOffset>
              </wp:positionH>
              <wp:positionV relativeFrom="paragraph">
                <wp:posOffset>0</wp:posOffset>
              </wp:positionV>
              <wp:extent cx="1687830" cy="255270"/>
              <wp:effectExtent l="0" t="0" r="0" b="0"/>
              <wp:wrapSquare wrapText="bothSides" distT="0" distB="0" distL="114300" distR="114300"/>
              <wp:docPr id="1281685812" name="Rectángulo 1281685812"/>
              <wp:cNvGraphicFramePr/>
              <a:graphic xmlns:a="http://schemas.openxmlformats.org/drawingml/2006/main">
                <a:graphicData uri="http://schemas.microsoft.com/office/word/2010/wordprocessingShape">
                  <wps:wsp>
                    <wps:cNvSpPr/>
                    <wps:spPr>
                      <a:xfrm>
                        <a:off x="4511610" y="3661890"/>
                        <a:ext cx="1668780" cy="236220"/>
                      </a:xfrm>
                      <a:prstGeom prst="rect">
                        <a:avLst/>
                      </a:prstGeom>
                      <a:noFill/>
                      <a:ln>
                        <a:noFill/>
                      </a:ln>
                    </wps:spPr>
                    <wps:txbx>
                      <w:txbxContent>
                        <w:p w14:paraId="03253206" w14:textId="77777777" w:rsidR="00713EAD" w:rsidRDefault="003B7EEE">
                          <w:pPr>
                            <w:textDirection w:val="btLr"/>
                          </w:pPr>
                          <w:r>
                            <w:rPr>
                              <w:rFonts w:ascii="Arial" w:eastAsia="Arial" w:hAnsi="Arial" w:cs="Arial"/>
                              <w:b/>
                              <w:i/>
                              <w:color w:val="595959"/>
                              <w:sz w:val="28"/>
                            </w:rPr>
                            <w:t>NOTA DE PRENSA</w:t>
                          </w:r>
                        </w:p>
                      </w:txbxContent>
                    </wps:txbx>
                    <wps:bodyPr spcFirstLastPara="1" wrap="square" lIns="0" tIns="0" rIns="0" bIns="0" anchor="t" anchorCtr="0">
                      <a:noAutofit/>
                    </wps:bodyPr>
                  </wps:wsp>
                </a:graphicData>
              </a:graphic>
            </wp:anchor>
          </w:drawing>
        </mc:Choice>
        <mc:Fallback>
          <w:pict>
            <v:rect w14:anchorId="3C816723" id="Rectángulo 1281685812" o:spid="_x0000_s1027" style="position:absolute;margin-left:310pt;margin-top:0;width:132.9pt;height:20.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" filled="f" stroked="f">
              <v:textbox inset="0,0,0,0">
                <w:txbxContent>
                  <w:p w14:paraId="03253206" w14:textId="77777777" w:rsidR="00713EAD" w:rsidRDefault="003B7EEE">
                    <w:pPr>
                      <w:textDirection w:val="btLr"/>
                    </w:pPr>
                    <w:r>
                      <w:rPr>
                        <w:rFonts w:ascii="Arial" w:eastAsia="Arial" w:hAnsi="Arial" w:cs="Arial"/>
                        <w:b/>
                        <w:i/>
                        <w:color w:val="595959"/>
                        <w:sz w:val="28"/>
                      </w:rPr>
                      <w:t>NOTA DE PRENSA</w:t>
                    </w:r>
                  </w:p>
                </w:txbxContent>
              </v:textbox>
              <w10:wrap type="square"/>
            </v:rect>
          </w:pict>
        </mc:Fallback>
      </mc:AlternateContent>
    </w:r>
  </w:p>
  <w:p w14:paraId="406BDB62" w14:textId="68FC098F" w:rsidR="00713EAD" w:rsidRDefault="00713EAD">
    <w:pPr>
      <w:pBdr>
        <w:top w:val="nil"/>
        <w:left w:val="nil"/>
        <w:bottom w:val="nil"/>
        <w:right w:val="nil"/>
        <w:between w:val="nil"/>
      </w:pBdr>
      <w:tabs>
        <w:tab w:val="center" w:pos="4252"/>
        <w:tab w:val="right" w:pos="8504"/>
      </w:tabs>
      <w:rPr>
        <w:color w:val="000000"/>
      </w:rPr>
    </w:pPr>
  </w:p>
  <w:p w14:paraId="28079DCC" w14:textId="77777777" w:rsidR="00B40A97" w:rsidRDefault="00B40A97">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F7522" w14:textId="77777777" w:rsidR="00713EAD" w:rsidRDefault="00713EAD">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F13D5B"/>
    <w:multiLevelType w:val="multilevel"/>
    <w:tmpl w:val="3416BDE8"/>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num w:numId="1" w16cid:durableId="1607694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EAD"/>
    <w:rsid w:val="00007113"/>
    <w:rsid w:val="002959F6"/>
    <w:rsid w:val="002A1C60"/>
    <w:rsid w:val="00323801"/>
    <w:rsid w:val="00380F15"/>
    <w:rsid w:val="003B7EEE"/>
    <w:rsid w:val="004F1E6F"/>
    <w:rsid w:val="004F5BF5"/>
    <w:rsid w:val="006B7F4E"/>
    <w:rsid w:val="00713EAD"/>
    <w:rsid w:val="007B24A0"/>
    <w:rsid w:val="0093209C"/>
    <w:rsid w:val="00B40A97"/>
    <w:rsid w:val="00BA3029"/>
    <w:rsid w:val="00F47A8C"/>
    <w:rsid w:val="00FF5B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D29CE8"/>
  <w15:docId w15:val="{16C86740-3D83-4B76-8198-D4AC2D593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MT" w:eastAsia="Arial MT" w:hAnsi="Arial MT" w:cs="Arial MT"/>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2539"/>
    <w:pPr>
      <w:autoSpaceDE w:val="0"/>
      <w:autoSpaceDN w:val="0"/>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oindependiente">
    <w:name w:val="Body Text"/>
    <w:basedOn w:val="Normal"/>
    <w:link w:val="TextoindependienteCar"/>
    <w:uiPriority w:val="1"/>
    <w:qFormat/>
    <w:rsid w:val="00212539"/>
  </w:style>
  <w:style w:type="character" w:customStyle="1" w:styleId="TextoindependienteCar">
    <w:name w:val="Texto independiente Car"/>
    <w:basedOn w:val="Fuentedeprrafopredeter"/>
    <w:link w:val="Textoindependiente"/>
    <w:uiPriority w:val="1"/>
    <w:rsid w:val="00212539"/>
    <w:rPr>
      <w:rFonts w:ascii="Arial MT" w:eastAsia="Arial MT" w:hAnsi="Arial MT" w:cs="Arial MT"/>
    </w:rPr>
  </w:style>
  <w:style w:type="paragraph" w:styleId="Encabezado">
    <w:name w:val="header"/>
    <w:basedOn w:val="Normal"/>
    <w:link w:val="EncabezadoCar"/>
    <w:uiPriority w:val="99"/>
    <w:unhideWhenUsed/>
    <w:rsid w:val="00212539"/>
    <w:pPr>
      <w:tabs>
        <w:tab w:val="center" w:pos="4252"/>
        <w:tab w:val="right" w:pos="8504"/>
      </w:tabs>
    </w:pPr>
  </w:style>
  <w:style w:type="character" w:customStyle="1" w:styleId="EncabezadoCar">
    <w:name w:val="Encabezado Car"/>
    <w:basedOn w:val="Fuentedeprrafopredeter"/>
    <w:link w:val="Encabezado"/>
    <w:uiPriority w:val="99"/>
    <w:rsid w:val="00212539"/>
    <w:rPr>
      <w:rFonts w:ascii="Arial MT" w:eastAsia="Arial MT" w:hAnsi="Arial MT" w:cs="Arial MT"/>
    </w:rPr>
  </w:style>
  <w:style w:type="paragraph" w:styleId="Piedepgina">
    <w:name w:val="footer"/>
    <w:basedOn w:val="Normal"/>
    <w:link w:val="PiedepginaCar"/>
    <w:uiPriority w:val="99"/>
    <w:unhideWhenUsed/>
    <w:rsid w:val="00212539"/>
    <w:pPr>
      <w:tabs>
        <w:tab w:val="center" w:pos="4252"/>
        <w:tab w:val="right" w:pos="8504"/>
      </w:tabs>
    </w:pPr>
  </w:style>
  <w:style w:type="character" w:customStyle="1" w:styleId="PiedepginaCar">
    <w:name w:val="Pie de página Car"/>
    <w:basedOn w:val="Fuentedeprrafopredeter"/>
    <w:link w:val="Piedepgina"/>
    <w:uiPriority w:val="99"/>
    <w:rsid w:val="00212539"/>
    <w:rPr>
      <w:rFonts w:ascii="Arial MT" w:eastAsia="Arial MT" w:hAnsi="Arial MT" w:cs="Arial MT"/>
    </w:rPr>
  </w:style>
  <w:style w:type="paragraph" w:styleId="Prrafodelista">
    <w:name w:val="List Paragraph"/>
    <w:basedOn w:val="Normal"/>
    <w:uiPriority w:val="34"/>
    <w:qFormat/>
    <w:rsid w:val="00212539"/>
    <w:pPr>
      <w:ind w:left="720"/>
      <w:contextualSpacing/>
    </w:pPr>
  </w:style>
  <w:style w:type="paragraph" w:styleId="Textodeglobo">
    <w:name w:val="Balloon Text"/>
    <w:basedOn w:val="Normal"/>
    <w:link w:val="TextodegloboCar"/>
    <w:uiPriority w:val="99"/>
    <w:semiHidden/>
    <w:unhideWhenUsed/>
    <w:rsid w:val="00107380"/>
    <w:rPr>
      <w:rFonts w:ascii="Tahoma" w:hAnsi="Tahoma" w:cs="Tahoma"/>
      <w:sz w:val="16"/>
      <w:szCs w:val="16"/>
    </w:rPr>
  </w:style>
  <w:style w:type="character" w:customStyle="1" w:styleId="TextodegloboCar">
    <w:name w:val="Texto de globo Car"/>
    <w:basedOn w:val="Fuentedeprrafopredeter"/>
    <w:link w:val="Textodeglobo"/>
    <w:uiPriority w:val="99"/>
    <w:semiHidden/>
    <w:rsid w:val="00107380"/>
    <w:rPr>
      <w:rFonts w:ascii="Tahoma" w:eastAsia="Arial MT" w:hAnsi="Tahoma" w:cs="Tahoma"/>
      <w:sz w:val="16"/>
      <w:szCs w:val="16"/>
    </w:rPr>
  </w:style>
  <w:style w:type="paragraph" w:styleId="NormalWeb">
    <w:name w:val="Normal (Web)"/>
    <w:basedOn w:val="Normal"/>
    <w:uiPriority w:val="99"/>
    <w:unhideWhenUsed/>
    <w:rsid w:val="00C54BB4"/>
    <w:pPr>
      <w:widowControl/>
      <w:autoSpaceDE/>
      <w:autoSpaceDN/>
      <w:spacing w:before="100" w:beforeAutospacing="1" w:after="100" w:afterAutospacing="1"/>
    </w:pPr>
    <w:rPr>
      <w:rFonts w:ascii="Times New Roman" w:eastAsia="Times New Roman" w:hAnsi="Times New Roman" w:cs="Times New Roman"/>
      <w:sz w:val="24"/>
      <w:szCs w:val="24"/>
      <w:lang w:eastAsia="ca-ES"/>
    </w:rPr>
  </w:style>
  <w:style w:type="paragraph" w:customStyle="1" w:styleId="Contenidodelmarco">
    <w:name w:val="Contenido del marco"/>
    <w:basedOn w:val="Normal"/>
    <w:qFormat/>
    <w:rsid w:val="00670376"/>
    <w:pPr>
      <w:widowControl/>
      <w:suppressAutoHyphens/>
      <w:autoSpaceDE/>
      <w:autoSpaceDN/>
    </w:pPr>
    <w:rPr>
      <w:rFonts w:asciiTheme="minorHAnsi" w:eastAsiaTheme="minorEastAsia" w:hAnsiTheme="minorHAnsi" w:cstheme="minorBidi"/>
      <w:sz w:val="24"/>
      <w:szCs w:val="24"/>
      <w:lang w:val="en-GB"/>
    </w:rPr>
  </w:style>
  <w:style w:type="paragraph" w:styleId="Revisin">
    <w:name w:val="Revision"/>
    <w:hidden/>
    <w:uiPriority w:val="99"/>
    <w:semiHidden/>
    <w:rsid w:val="000C6C84"/>
  </w:style>
  <w:style w:type="character" w:styleId="Refdecomentario">
    <w:name w:val="annotation reference"/>
    <w:basedOn w:val="Fuentedeprrafopredeter"/>
    <w:uiPriority w:val="99"/>
    <w:semiHidden/>
    <w:unhideWhenUsed/>
    <w:rsid w:val="000C6C84"/>
    <w:rPr>
      <w:sz w:val="16"/>
      <w:szCs w:val="16"/>
    </w:rPr>
  </w:style>
  <w:style w:type="paragraph" w:styleId="Textocomentario">
    <w:name w:val="annotation text"/>
    <w:basedOn w:val="Normal"/>
    <w:link w:val="TextocomentarioCar"/>
    <w:uiPriority w:val="99"/>
    <w:semiHidden/>
    <w:unhideWhenUsed/>
    <w:rsid w:val="000C6C84"/>
    <w:rPr>
      <w:sz w:val="20"/>
      <w:szCs w:val="20"/>
    </w:rPr>
  </w:style>
  <w:style w:type="character" w:customStyle="1" w:styleId="TextocomentarioCar">
    <w:name w:val="Texto comentario Car"/>
    <w:basedOn w:val="Fuentedeprrafopredeter"/>
    <w:link w:val="Textocomentario"/>
    <w:uiPriority w:val="99"/>
    <w:semiHidden/>
    <w:rsid w:val="000C6C84"/>
    <w:rPr>
      <w:rFonts w:ascii="Arial MT" w:eastAsia="Arial MT" w:hAnsi="Arial MT" w:cs="Arial MT"/>
      <w:sz w:val="20"/>
      <w:szCs w:val="20"/>
    </w:rPr>
  </w:style>
  <w:style w:type="paragraph" w:styleId="Asuntodelcomentario">
    <w:name w:val="annotation subject"/>
    <w:basedOn w:val="Textocomentario"/>
    <w:next w:val="Textocomentario"/>
    <w:link w:val="AsuntodelcomentarioCar"/>
    <w:uiPriority w:val="99"/>
    <w:semiHidden/>
    <w:unhideWhenUsed/>
    <w:rsid w:val="000C6C84"/>
    <w:rPr>
      <w:b/>
      <w:bCs/>
    </w:rPr>
  </w:style>
  <w:style w:type="character" w:customStyle="1" w:styleId="AsuntodelcomentarioCar">
    <w:name w:val="Asunto del comentario Car"/>
    <w:basedOn w:val="TextocomentarioCar"/>
    <w:link w:val="Asuntodelcomentario"/>
    <w:uiPriority w:val="99"/>
    <w:semiHidden/>
    <w:rsid w:val="000C6C84"/>
    <w:rPr>
      <w:rFonts w:ascii="Arial MT" w:eastAsia="Arial MT" w:hAnsi="Arial MT" w:cs="Arial MT"/>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5lUTXjlm5i0PgQIF4B5xCEz3AQ==">CgMxLjA4AHIhMTUxUVRhX3pseEJneDRHejZVTmJaR0M0WXNmNjVtYTgx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o" ma:contentTypeID="0x010100D8E81568CB2A4644A7DEBC09171563E8" ma:contentTypeVersion="18" ma:contentTypeDescription="Crear nuevo documento." ma:contentTypeScope="" ma:versionID="09fc58eef8eb8bb1ba19f8563edf83b5">
  <xsd:schema xmlns:xsd="http://www.w3.org/2001/XMLSchema" xmlns:xs="http://www.w3.org/2001/XMLSchema" xmlns:p="http://schemas.microsoft.com/office/2006/metadata/properties" xmlns:ns2="2b6cbe70-0c33-48c9-8214-7f84aa4386b5" xmlns:ns3="012217d6-fa2d-4252-bcd9-57041eb1a1c4" targetNamespace="http://schemas.microsoft.com/office/2006/metadata/properties" ma:root="true" ma:fieldsID="9133ca048965dc6f5b25af1fd6ffdc7d" ns2:_="" ns3:_="">
    <xsd:import namespace="2b6cbe70-0c33-48c9-8214-7f84aa4386b5"/>
    <xsd:import namespace="012217d6-fa2d-4252-bcd9-57041eb1a1c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6cbe70-0c33-48c9-8214-7f84aa4386b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e406fa19-a254-4636-b82e-e8157df3be69}" ma:internalName="TaxCatchAll" ma:showField="CatchAllData" ma:web="2b6cbe70-0c33-48c9-8214-7f84aa4386b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12217d6-fa2d-4252-bcd9-57041eb1a1c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3432716f-e644-4490-80ed-d0744062505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2217d6-fa2d-4252-bcd9-57041eb1a1c4">
      <Terms xmlns="http://schemas.microsoft.com/office/infopath/2007/PartnerControls"/>
    </lcf76f155ced4ddcb4097134ff3c332f>
    <TaxCatchAll xmlns="2b6cbe70-0c33-48c9-8214-7f84aa4386b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4A4F51-D536-4523-8335-C18B5D1DE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6cbe70-0c33-48c9-8214-7f84aa4386b5"/>
    <ds:schemaRef ds:uri="012217d6-fa2d-4252-bcd9-57041eb1a1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6337FF-A3EF-42CE-BBFF-444C8AC20426}">
  <ds:schemaRefs>
    <ds:schemaRef ds:uri="http://schemas.microsoft.com/office/2006/metadata/properties"/>
    <ds:schemaRef ds:uri="http://schemas.microsoft.com/office/infopath/2007/PartnerControls"/>
    <ds:schemaRef ds:uri="012217d6-fa2d-4252-bcd9-57041eb1a1c4"/>
    <ds:schemaRef ds:uri="2b6cbe70-0c33-48c9-8214-7f84aa4386b5"/>
  </ds:schemaRefs>
</ds:datastoreItem>
</file>

<file path=customXml/itemProps4.xml><?xml version="1.0" encoding="utf-8"?>
<ds:datastoreItem xmlns:ds="http://schemas.openxmlformats.org/officeDocument/2006/customXml" ds:itemID="{44E2B26B-D718-4C25-B31B-5F08AE48428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976</Words>
  <Characters>5368</Characters>
  <Application>Microsoft Office Word</Application>
  <DocSecurity>0</DocSecurity>
  <Lines>44</Lines>
  <Paragraphs>12</Paragraphs>
  <ScaleCrop>false</ScaleCrop>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Xavi  Meca</dc:creator>
  <cp:lastModifiedBy>Álvaro Zarzoso</cp:lastModifiedBy>
  <cp:revision>8</cp:revision>
  <dcterms:created xsi:type="dcterms:W3CDTF">2024-06-20T08:46:00Z</dcterms:created>
  <dcterms:modified xsi:type="dcterms:W3CDTF">2024-07-05T12:44:00Z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0x010100D8E81568CB2A4644A7DEBC09171563E8</vt:lpwstr>
  </property>
  <property fmtid="{D5CDD505-2E9C-101B-9397-08002B2CF9AE}" pid="3" name="MediaServiceImageTags">
    <vt:lpwstr/>
  </property>
  <property fmtid="{D5CDD505-2E9C-101B-9397-08002B2CF9AE}" pid="4" name="MSIP_Label_5d86bc70-2a05-490c-b199-8f0f8e614d89_Enabled">
    <vt:lpwstr>true</vt:lpwstr>
  </property>
  <property fmtid="{D5CDD505-2E9C-101B-9397-08002B2CF9AE}" pid="5" name="MSIP_Label_5d86bc70-2a05-490c-b199-8f0f8e614d89_SetDate">
    <vt:lpwstr>2024-06-25T13:47:24Z</vt:lpwstr>
  </property>
  <property fmtid="{D5CDD505-2E9C-101B-9397-08002B2CF9AE}" pid="6" name="MSIP_Label_5d86bc70-2a05-490c-b199-8f0f8e614d89_Method">
    <vt:lpwstr>Privileged</vt:lpwstr>
  </property>
  <property fmtid="{D5CDD505-2E9C-101B-9397-08002B2CF9AE}" pid="7" name="MSIP_Label_5d86bc70-2a05-490c-b199-8f0f8e614d89_Name">
    <vt:lpwstr>5d86bc70-2a05-490c-b199-8f0f8e614d89</vt:lpwstr>
  </property>
  <property fmtid="{D5CDD505-2E9C-101B-9397-08002B2CF9AE}" pid="8" name="MSIP_Label_5d86bc70-2a05-490c-b199-8f0f8e614d89_SiteId">
    <vt:lpwstr>5df31d35-3ba9-481e-a3c8-ff9be3ee783b</vt:lpwstr>
  </property>
  <property fmtid="{D5CDD505-2E9C-101B-9397-08002B2CF9AE}" pid="9" name="MSIP_Label_5d86bc70-2a05-490c-b199-8f0f8e614d89_ActionId">
    <vt:lpwstr>1c250b32-bff4-43b2-8987-20cadb0be00e</vt:lpwstr>
  </property>
  <property fmtid="{D5CDD505-2E9C-101B-9397-08002B2CF9AE}" pid="10" name="MSIP_Label_5d86bc70-2a05-490c-b199-8f0f8e614d89_ContentBits">
    <vt:lpwstr>0</vt:lpwstr>
  </property>
</Properties>
</file>